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89602" w14:textId="77777777" w:rsidR="00AC3216" w:rsidRPr="00D13FFC" w:rsidRDefault="00AC3216" w:rsidP="00D13FFC">
      <w:pPr>
        <w:pStyle w:val="Heading1"/>
        <w:rPr>
          <w:b/>
          <w:bCs/>
          <w:color w:val="auto"/>
          <w:sz w:val="52"/>
          <w:szCs w:val="52"/>
        </w:rPr>
      </w:pPr>
      <w:r w:rsidRPr="00D13FFC">
        <w:rPr>
          <w:b/>
          <w:bCs/>
          <w:color w:val="auto"/>
          <w:sz w:val="52"/>
          <w:szCs w:val="52"/>
        </w:rPr>
        <w:t>2026/27 Quality and Outcomes Framework (QOF) Obesity Indicators Frequently Asked Questions</w:t>
      </w:r>
    </w:p>
    <w:p w14:paraId="7B0FB69F" w14:textId="77777777" w:rsidR="00AC3216" w:rsidRPr="00AC3216" w:rsidRDefault="00AC3216" w:rsidP="00D13FFC">
      <w:pPr>
        <w:pStyle w:val="Heading1"/>
        <w:spacing w:before="120" w:after="120" w:line="276" w:lineRule="auto"/>
        <w:jc w:val="both"/>
        <w:rPr>
          <w:b/>
          <w:bCs/>
          <w:color w:val="auto"/>
        </w:rPr>
      </w:pPr>
      <w:bookmarkStart w:id="0" w:name="_Toc225946953"/>
      <w:bookmarkStart w:id="1" w:name="_Toc189746326"/>
      <w:r w:rsidRPr="00AC3216">
        <w:rPr>
          <w:b/>
          <w:bCs/>
          <w:color w:val="auto"/>
        </w:rPr>
        <w:t>1. What do the OB004 and OB005 indicators cover?</w:t>
      </w:r>
    </w:p>
    <w:p w14:paraId="24DDE12F" w14:textId="77777777" w:rsidR="00AC3216" w:rsidRPr="00AC3216" w:rsidRDefault="00AC3216" w:rsidP="00D13FFC">
      <w:pPr>
        <w:pStyle w:val="Paragraphtext"/>
        <w:spacing w:before="120" w:after="120" w:line="276" w:lineRule="auto"/>
        <w:contextualSpacing/>
        <w:jc w:val="both"/>
        <w:rPr>
          <w:rFonts w:ascii="Arial" w:hAnsi="Arial" w:cs="Arial"/>
        </w:rPr>
      </w:pPr>
      <w:r w:rsidRPr="00AC3216">
        <w:rPr>
          <w:rFonts w:ascii="Arial" w:hAnsi="Arial" w:cs="Arial"/>
        </w:rPr>
        <w:t>The two indicators cover:</w:t>
      </w:r>
    </w:p>
    <w:p w14:paraId="6F147F72" w14:textId="77777777" w:rsidR="00AC3216" w:rsidRPr="00AC3216" w:rsidRDefault="00AC3216" w:rsidP="00D13FFC">
      <w:pPr>
        <w:pStyle w:val="Bullet"/>
        <w:spacing w:before="120" w:after="120" w:line="276" w:lineRule="auto"/>
        <w:contextualSpacing/>
        <w:jc w:val="both"/>
        <w:rPr>
          <w:rFonts w:cs="Arial"/>
        </w:rPr>
      </w:pPr>
      <w:r w:rsidRPr="00AC3216">
        <w:rPr>
          <w:rFonts w:cs="Arial"/>
        </w:rPr>
        <w:t>OB004: Referral to a weight management behavioural support programme</w:t>
      </w:r>
    </w:p>
    <w:p w14:paraId="006A1B2C" w14:textId="77777777" w:rsidR="00AC3216" w:rsidRPr="00AC3216" w:rsidRDefault="00AC3216" w:rsidP="00D13FFC">
      <w:pPr>
        <w:pStyle w:val="Bullet"/>
        <w:spacing w:before="120" w:after="120" w:line="276" w:lineRule="auto"/>
        <w:contextualSpacing/>
        <w:jc w:val="both"/>
        <w:rPr>
          <w:rFonts w:cs="Arial"/>
        </w:rPr>
      </w:pPr>
      <w:r w:rsidRPr="00AC3216">
        <w:rPr>
          <w:rFonts w:cs="Arial"/>
        </w:rPr>
        <w:t>OB005: Prescribing pharmacotherapy for weight management alongside behavioural wraparound support, following shared decision making</w:t>
      </w:r>
    </w:p>
    <w:p w14:paraId="01A12A0D" w14:textId="77777777" w:rsidR="00AC3216" w:rsidRPr="00AC3216" w:rsidRDefault="00AC3216" w:rsidP="00D13FFC">
      <w:pPr>
        <w:pStyle w:val="Paragraphtext"/>
        <w:spacing w:before="120" w:after="120" w:line="276" w:lineRule="auto"/>
        <w:contextualSpacing/>
        <w:jc w:val="both"/>
        <w:rPr>
          <w:rFonts w:ascii="Arial" w:hAnsi="Arial" w:cs="Arial"/>
        </w:rPr>
      </w:pPr>
      <w:r w:rsidRPr="00AC3216">
        <w:rPr>
          <w:rFonts w:ascii="Arial" w:hAnsi="Arial" w:cs="Arial"/>
        </w:rPr>
        <w:t>Full details are set out in:</w:t>
      </w:r>
    </w:p>
    <w:p w14:paraId="1ED6D7A5" w14:textId="77777777" w:rsidR="00AC3216" w:rsidRPr="00AC3216" w:rsidRDefault="00AC3216" w:rsidP="00D13FFC">
      <w:pPr>
        <w:pStyle w:val="Bullet"/>
        <w:spacing w:before="120" w:after="120" w:line="276" w:lineRule="auto"/>
        <w:ind w:left="993"/>
        <w:contextualSpacing/>
        <w:jc w:val="both"/>
        <w:rPr>
          <w:rFonts w:cs="Arial"/>
        </w:rPr>
      </w:pPr>
      <w:hyperlink r:id="rId11" w:history="1">
        <w:r w:rsidRPr="00AC3216">
          <w:rPr>
            <w:rStyle w:val="Hyperlink"/>
            <w:rFonts w:cs="Arial"/>
          </w:rPr>
          <w:t>2026/27 QOF guidance</w:t>
        </w:r>
      </w:hyperlink>
    </w:p>
    <w:p w14:paraId="331B8648" w14:textId="77777777" w:rsidR="00AC3216" w:rsidRPr="00AC3216" w:rsidRDefault="00AC3216" w:rsidP="00D13FFC">
      <w:pPr>
        <w:pStyle w:val="Bullet"/>
        <w:spacing w:before="120" w:after="120" w:line="276" w:lineRule="auto"/>
        <w:ind w:left="993"/>
        <w:contextualSpacing/>
        <w:jc w:val="both"/>
        <w:rPr>
          <w:rFonts w:cs="Arial"/>
        </w:rPr>
      </w:pPr>
      <w:hyperlink r:id="rId12" w:history="1">
        <w:r w:rsidRPr="00AC3216">
          <w:rPr>
            <w:rStyle w:val="Hyperlink"/>
            <w:rFonts w:cs="Arial"/>
          </w:rPr>
          <w:t>2026/27 QOF business rules</w:t>
        </w:r>
      </w:hyperlink>
    </w:p>
    <w:p w14:paraId="41FB3F3A" w14:textId="77777777" w:rsidR="00AC3216" w:rsidRPr="00AC3216" w:rsidRDefault="00AC3216" w:rsidP="00D13FFC">
      <w:pPr>
        <w:pStyle w:val="Bullet"/>
        <w:spacing w:before="120" w:after="120" w:line="276" w:lineRule="auto"/>
        <w:ind w:left="993"/>
        <w:contextualSpacing/>
        <w:jc w:val="both"/>
        <w:rPr>
          <w:rStyle w:val="Hyperlink"/>
          <w:rFonts w:cs="Arial"/>
          <w:color w:val="auto"/>
          <w:u w:val="none"/>
        </w:rPr>
      </w:pPr>
      <w:r w:rsidRPr="00AC3216">
        <w:rPr>
          <w:rFonts w:cs="Arial"/>
        </w:rPr>
        <w:fldChar w:fldCharType="begin"/>
      </w:r>
      <w:r w:rsidRPr="00AC3216">
        <w:rPr>
          <w:rFonts w:cs="Arial"/>
        </w:rPr>
        <w:instrText>HYPERLINK "https://www.gov.uk/government/publications/general-medical-services-statement-of-financial-entitlements-directions"</w:instrText>
      </w:r>
      <w:r w:rsidRPr="00AC3216">
        <w:rPr>
          <w:rFonts w:cs="Arial"/>
        </w:rPr>
      </w:r>
      <w:r w:rsidRPr="00AC3216">
        <w:rPr>
          <w:rFonts w:cs="Arial"/>
        </w:rPr>
        <w:fldChar w:fldCharType="separate"/>
      </w:r>
      <w:r w:rsidRPr="00AC3216">
        <w:rPr>
          <w:rStyle w:val="Hyperlink"/>
          <w:rFonts w:cs="Arial"/>
        </w:rPr>
        <w:t>General Medical Services Statement of Financial Entitlements (SFE)</w:t>
      </w:r>
    </w:p>
    <w:p w14:paraId="5EB565B4" w14:textId="77777777" w:rsidR="00AC3216" w:rsidRPr="00AC3216" w:rsidRDefault="00AC3216" w:rsidP="00D13FFC">
      <w:pPr>
        <w:pStyle w:val="Bullet"/>
        <w:spacing w:before="120" w:after="120" w:line="276" w:lineRule="auto"/>
        <w:ind w:left="993"/>
        <w:contextualSpacing/>
        <w:jc w:val="both"/>
        <w:rPr>
          <w:rFonts w:cs="Arial"/>
        </w:rPr>
      </w:pPr>
      <w:r w:rsidRPr="00AC3216">
        <w:rPr>
          <w:rFonts w:cs="Arial"/>
        </w:rPr>
        <w:fldChar w:fldCharType="end"/>
      </w:r>
      <w:hyperlink r:id="rId13" w:history="1">
        <w:r w:rsidRPr="00AC3216">
          <w:rPr>
            <w:rStyle w:val="Hyperlink"/>
            <w:rFonts w:cs="Arial"/>
          </w:rPr>
          <w:t>NICE guidance on obesity management (NG246)</w:t>
        </w:r>
      </w:hyperlink>
    </w:p>
    <w:p w14:paraId="700B9370" w14:textId="77777777" w:rsidR="00AC3216" w:rsidRPr="00AC3216" w:rsidRDefault="00AC3216" w:rsidP="00D13FFC">
      <w:pPr>
        <w:pStyle w:val="Bullet"/>
        <w:spacing w:before="120" w:after="120" w:line="276" w:lineRule="auto"/>
        <w:ind w:left="993"/>
        <w:contextualSpacing/>
        <w:jc w:val="both"/>
        <w:rPr>
          <w:rFonts w:cs="Arial"/>
        </w:rPr>
      </w:pPr>
      <w:hyperlink r:id="rId14" w:history="1">
        <w:r w:rsidRPr="00AC3216">
          <w:rPr>
            <w:rStyle w:val="Hyperlink"/>
            <w:rFonts w:cs="Arial"/>
          </w:rPr>
          <w:t>Technology Appraisal (TA1026) Tirzepatide for managing overweight and obesity</w:t>
        </w:r>
      </w:hyperlink>
    </w:p>
    <w:p w14:paraId="072422DB" w14:textId="77777777" w:rsidR="00AC3216" w:rsidRPr="00AC3216" w:rsidRDefault="00AC3216" w:rsidP="00D13FFC">
      <w:pPr>
        <w:pStyle w:val="Bullet"/>
        <w:spacing w:before="120" w:after="120" w:line="276" w:lineRule="auto"/>
        <w:ind w:left="993"/>
        <w:contextualSpacing/>
        <w:jc w:val="both"/>
        <w:rPr>
          <w:rFonts w:cs="Arial"/>
        </w:rPr>
      </w:pPr>
      <w:hyperlink r:id="rId15" w:history="1">
        <w:r w:rsidRPr="00AC3216">
          <w:rPr>
            <w:rStyle w:val="Hyperlink"/>
            <w:rFonts w:cs="Arial"/>
          </w:rPr>
          <w:t>NICE Funding Variation for tirzepatide (Mounjaro®) in primary care</w:t>
        </w:r>
      </w:hyperlink>
    </w:p>
    <w:p w14:paraId="63DC61C8" w14:textId="0543DEDE" w:rsidR="00AC3216" w:rsidRPr="00AC3216" w:rsidRDefault="00AC3216" w:rsidP="00D13FFC">
      <w:pPr>
        <w:pStyle w:val="Bullet"/>
        <w:spacing w:before="120" w:after="120" w:line="276" w:lineRule="auto"/>
        <w:ind w:left="993"/>
        <w:contextualSpacing/>
        <w:jc w:val="both"/>
        <w:rPr>
          <w:rFonts w:cs="Arial"/>
        </w:rPr>
      </w:pPr>
      <w:hyperlink r:id="rId16" w:history="1">
        <w:r w:rsidRPr="00AC3216">
          <w:rPr>
            <w:rStyle w:val="Hyperlink"/>
            <w:rFonts w:cs="Arial"/>
          </w:rPr>
          <w:t>Interim commissioning guidance for implementing tirzepatide for the management of obesity</w:t>
        </w:r>
      </w:hyperlink>
    </w:p>
    <w:p w14:paraId="18A031AA" w14:textId="77777777" w:rsidR="00AC3216" w:rsidRPr="00AC3216" w:rsidRDefault="00AC3216" w:rsidP="00D13FFC">
      <w:pPr>
        <w:pStyle w:val="Heading1"/>
        <w:spacing w:before="120" w:after="120" w:line="276" w:lineRule="auto"/>
        <w:jc w:val="both"/>
        <w:rPr>
          <w:b/>
          <w:bCs/>
          <w:color w:val="auto"/>
        </w:rPr>
      </w:pPr>
      <w:r w:rsidRPr="00AC3216">
        <w:rPr>
          <w:b/>
          <w:bCs/>
          <w:color w:val="auto"/>
        </w:rPr>
        <w:t>2. Why is OB004 funded through QOF rather than a per-referral payment?</w:t>
      </w:r>
    </w:p>
    <w:p w14:paraId="549E11D6"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OB004 is intended to embed weight management within routine primary care, rather than incentivise referral volume. </w:t>
      </w:r>
    </w:p>
    <w:p w14:paraId="4F1F18BB" w14:textId="39EAECAB"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The QOF approach provides predictable funding linked to eligible population and achievement, while supporting clinically appropriate referrals. Personalised Care Adjustments (PCA) can be used where a suitable service is declined or inappropriate for the patient.</w:t>
      </w:r>
    </w:p>
    <w:p w14:paraId="77049D8A" w14:textId="77777777" w:rsidR="00AC3216" w:rsidRPr="00416FA1" w:rsidRDefault="00AC3216" w:rsidP="00D13FFC">
      <w:pPr>
        <w:pStyle w:val="Heading1"/>
        <w:spacing w:before="120" w:after="120" w:line="276" w:lineRule="auto"/>
        <w:jc w:val="both"/>
        <w:rPr>
          <w:b/>
          <w:bCs/>
          <w:color w:val="auto"/>
        </w:rPr>
      </w:pPr>
      <w:r w:rsidRPr="00416FA1">
        <w:rPr>
          <w:b/>
          <w:bCs/>
          <w:color w:val="auto"/>
        </w:rPr>
        <w:t>3. What type of services count for OB004?</w:t>
      </w:r>
    </w:p>
    <w:p w14:paraId="0BD39033" w14:textId="29984470" w:rsidR="000C57AA" w:rsidRDefault="00AC3216" w:rsidP="00D13FFC">
      <w:pPr>
        <w:pStyle w:val="Paragraphtext"/>
        <w:spacing w:before="120" w:after="120" w:line="276" w:lineRule="auto"/>
        <w:contextualSpacing/>
        <w:jc w:val="both"/>
        <w:rPr>
          <w:rFonts w:ascii="Arial" w:hAnsi="Arial" w:cs="Arial"/>
        </w:rPr>
      </w:pPr>
      <w:r w:rsidRPr="00AC3216">
        <w:rPr>
          <w:rFonts w:ascii="Arial" w:hAnsi="Arial" w:cs="Arial"/>
        </w:rPr>
        <w:t xml:space="preserve">Practices may refer </w:t>
      </w:r>
      <w:r w:rsidR="000C57AA">
        <w:rPr>
          <w:rFonts w:ascii="Arial" w:hAnsi="Arial" w:cs="Arial"/>
        </w:rPr>
        <w:t>patient</w:t>
      </w:r>
      <w:r w:rsidR="003F0BAC">
        <w:rPr>
          <w:rFonts w:ascii="Arial" w:hAnsi="Arial" w:cs="Arial"/>
        </w:rPr>
        <w:t>s</w:t>
      </w:r>
      <w:r w:rsidR="000C57AA">
        <w:rPr>
          <w:rFonts w:ascii="Arial" w:hAnsi="Arial" w:cs="Arial"/>
        </w:rPr>
        <w:t xml:space="preserve"> </w:t>
      </w:r>
      <w:r w:rsidRPr="00AC3216">
        <w:rPr>
          <w:rFonts w:ascii="Arial" w:hAnsi="Arial" w:cs="Arial"/>
        </w:rPr>
        <w:t xml:space="preserve">to </w:t>
      </w:r>
      <w:r w:rsidR="003F0BAC">
        <w:rPr>
          <w:rFonts w:ascii="Arial" w:hAnsi="Arial" w:cs="Arial"/>
        </w:rPr>
        <w:t xml:space="preserve">an </w:t>
      </w:r>
      <w:r w:rsidRPr="00AC3216">
        <w:rPr>
          <w:rFonts w:ascii="Arial" w:hAnsi="Arial" w:cs="Arial"/>
        </w:rPr>
        <w:t xml:space="preserve">appropriate </w:t>
      </w:r>
      <w:r w:rsidR="000C57AA">
        <w:rPr>
          <w:rFonts w:ascii="Arial" w:hAnsi="Arial" w:cs="Arial"/>
        </w:rPr>
        <w:t xml:space="preserve">structured weight management programme delivered through a </w:t>
      </w:r>
      <w:r w:rsidRPr="00AC3216">
        <w:rPr>
          <w:rFonts w:ascii="Arial" w:hAnsi="Arial" w:cs="Arial"/>
        </w:rPr>
        <w:t xml:space="preserve">national, local authority, ICB-commissioned or relevant voluntary service. </w:t>
      </w:r>
    </w:p>
    <w:p w14:paraId="071CAEA6" w14:textId="64C643B8" w:rsidR="00AC3216" w:rsidRPr="00AC3216" w:rsidRDefault="000C57AA" w:rsidP="00D13FFC">
      <w:pPr>
        <w:pStyle w:val="Paragraphtext"/>
        <w:spacing w:before="120" w:after="120" w:line="276" w:lineRule="auto"/>
        <w:contextualSpacing/>
        <w:jc w:val="both"/>
        <w:rPr>
          <w:rFonts w:ascii="Arial" w:hAnsi="Arial" w:cs="Arial"/>
        </w:rPr>
      </w:pPr>
      <w:r>
        <w:rPr>
          <w:rFonts w:ascii="Arial" w:hAnsi="Arial" w:cs="Arial"/>
        </w:rPr>
        <w:lastRenderedPageBreak/>
        <w:t xml:space="preserve">A </w:t>
      </w:r>
      <w:r w:rsidRPr="000C57AA">
        <w:rPr>
          <w:rFonts w:ascii="Arial" w:hAnsi="Arial" w:cs="Arial"/>
        </w:rPr>
        <w:t xml:space="preserve">qualifying programme is a Tier 2 </w:t>
      </w:r>
      <w:r w:rsidR="00AC3216" w:rsidRPr="00AC3216">
        <w:rPr>
          <w:rFonts w:ascii="Arial" w:hAnsi="Arial" w:cs="Arial"/>
        </w:rPr>
        <w:t xml:space="preserve">weight management </w:t>
      </w:r>
      <w:r>
        <w:rPr>
          <w:rFonts w:ascii="Arial" w:hAnsi="Arial" w:cs="Arial"/>
        </w:rPr>
        <w:t xml:space="preserve">service and should </w:t>
      </w:r>
      <w:r w:rsidR="00AC3216" w:rsidRPr="00AC3216">
        <w:rPr>
          <w:rFonts w:ascii="Arial" w:hAnsi="Arial" w:cs="Arial"/>
        </w:rPr>
        <w:t>align with NICE guidance (NG246), meaning it must include</w:t>
      </w:r>
      <w:r>
        <w:rPr>
          <w:rFonts w:ascii="Arial" w:hAnsi="Arial" w:cs="Arial"/>
        </w:rPr>
        <w:t xml:space="preserve"> a coordinated package of</w:t>
      </w:r>
      <w:r w:rsidR="00AC3216" w:rsidRPr="00AC3216">
        <w:rPr>
          <w:rFonts w:ascii="Arial" w:hAnsi="Arial" w:cs="Arial"/>
        </w:rPr>
        <w:t>:</w:t>
      </w:r>
    </w:p>
    <w:p w14:paraId="7264BEFD" w14:textId="2520D046" w:rsidR="00AC3216" w:rsidRPr="00AC3216" w:rsidRDefault="000C57AA" w:rsidP="00D13FFC">
      <w:pPr>
        <w:pStyle w:val="Bullet"/>
        <w:spacing w:before="120" w:after="120" w:line="276" w:lineRule="auto"/>
        <w:contextualSpacing/>
        <w:jc w:val="both"/>
        <w:rPr>
          <w:rFonts w:cs="Arial"/>
          <w:szCs w:val="24"/>
        </w:rPr>
      </w:pPr>
      <w:r>
        <w:rPr>
          <w:rFonts w:cs="Arial"/>
          <w:szCs w:val="24"/>
        </w:rPr>
        <w:t>d</w:t>
      </w:r>
      <w:r w:rsidR="00AC3216" w:rsidRPr="00AC3216">
        <w:rPr>
          <w:rFonts w:cs="Arial"/>
          <w:szCs w:val="24"/>
        </w:rPr>
        <w:t>ietary support</w:t>
      </w:r>
    </w:p>
    <w:p w14:paraId="1DFFE1F4" w14:textId="76E2CC84" w:rsidR="00AC3216" w:rsidRPr="00AC3216" w:rsidRDefault="000C57AA" w:rsidP="00D13FFC">
      <w:pPr>
        <w:pStyle w:val="Bullet"/>
        <w:spacing w:before="120" w:after="120" w:line="276" w:lineRule="auto"/>
        <w:contextualSpacing/>
        <w:jc w:val="both"/>
        <w:rPr>
          <w:rFonts w:cs="Arial"/>
          <w:szCs w:val="24"/>
        </w:rPr>
      </w:pPr>
      <w:r>
        <w:rPr>
          <w:rFonts w:cs="Arial"/>
          <w:szCs w:val="24"/>
        </w:rPr>
        <w:t>p</w:t>
      </w:r>
      <w:r w:rsidR="00AC3216" w:rsidRPr="00AC3216">
        <w:rPr>
          <w:rFonts w:cs="Arial"/>
          <w:szCs w:val="24"/>
        </w:rPr>
        <w:t>hysical activity support</w:t>
      </w:r>
      <w:r>
        <w:rPr>
          <w:rFonts w:cs="Arial"/>
          <w:szCs w:val="24"/>
        </w:rPr>
        <w:t xml:space="preserve">; and </w:t>
      </w:r>
    </w:p>
    <w:p w14:paraId="7C8C12CC" w14:textId="75CCE1E8" w:rsidR="00AC3216" w:rsidRPr="00AC3216" w:rsidRDefault="000C57AA" w:rsidP="00D13FFC">
      <w:pPr>
        <w:pStyle w:val="Bullet"/>
        <w:spacing w:before="120" w:after="120" w:line="276" w:lineRule="auto"/>
        <w:contextualSpacing/>
        <w:jc w:val="both"/>
        <w:rPr>
          <w:rFonts w:cs="Arial"/>
          <w:szCs w:val="24"/>
        </w:rPr>
      </w:pPr>
      <w:r>
        <w:rPr>
          <w:rFonts w:cs="Arial"/>
          <w:szCs w:val="24"/>
        </w:rPr>
        <w:t>b</w:t>
      </w:r>
      <w:r w:rsidR="00AC3216" w:rsidRPr="00AC3216">
        <w:rPr>
          <w:rFonts w:cs="Arial"/>
          <w:szCs w:val="24"/>
        </w:rPr>
        <w:t>ehavioural change support</w:t>
      </w:r>
    </w:p>
    <w:p w14:paraId="30F4AB1E" w14:textId="77777777" w:rsidR="000C57AA" w:rsidRDefault="000C57AA" w:rsidP="00D13FFC">
      <w:pPr>
        <w:pStyle w:val="Paragraphtext"/>
        <w:spacing w:before="120" w:after="120" w:line="276" w:lineRule="auto"/>
        <w:jc w:val="both"/>
        <w:rPr>
          <w:rFonts w:ascii="Arial" w:hAnsi="Arial" w:cs="Arial"/>
        </w:rPr>
      </w:pPr>
      <w:r w:rsidRPr="000C57AA">
        <w:rPr>
          <w:rFonts w:ascii="Arial" w:hAnsi="Arial" w:cs="Arial"/>
        </w:rPr>
        <w:t>Programmes should include clearly defined and measurable outcomes.</w:t>
      </w:r>
    </w:p>
    <w:p w14:paraId="10E031C7"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Examples include the NHS Digital Weight Management Programme, NHS Diabetes Prevention Programme, Type 2 Diabetes Path to Remission Programme and local authority commissioned lifestyle and behavioural management services. </w:t>
      </w:r>
    </w:p>
    <w:p w14:paraId="1EA7A90F" w14:textId="3E03BF62" w:rsidR="00AC3216" w:rsidRPr="00AC3216" w:rsidRDefault="00AC3216" w:rsidP="000C57AA">
      <w:pPr>
        <w:pStyle w:val="Paragraphtext"/>
        <w:spacing w:before="120" w:after="120" w:line="276" w:lineRule="auto"/>
        <w:jc w:val="both"/>
        <w:rPr>
          <w:rFonts w:ascii="Arial" w:hAnsi="Arial" w:cs="Arial"/>
        </w:rPr>
      </w:pPr>
      <w:r w:rsidRPr="00AC3216">
        <w:rPr>
          <w:rFonts w:ascii="Arial" w:hAnsi="Arial" w:cs="Arial"/>
        </w:rPr>
        <w:t>Tier 1 / self-care services</w:t>
      </w:r>
      <w:r w:rsidR="000C57AA">
        <w:rPr>
          <w:rFonts w:ascii="Arial" w:hAnsi="Arial" w:cs="Arial"/>
        </w:rPr>
        <w:t>,</w:t>
      </w:r>
      <w:r w:rsidRPr="00AC3216">
        <w:rPr>
          <w:rFonts w:ascii="Arial" w:hAnsi="Arial" w:cs="Arial"/>
        </w:rPr>
        <w:t xml:space="preserve"> </w:t>
      </w:r>
      <w:r w:rsidR="000C57AA" w:rsidRPr="00AC3216">
        <w:rPr>
          <w:rFonts w:ascii="Arial" w:hAnsi="Arial" w:cs="Arial"/>
        </w:rPr>
        <w:t xml:space="preserve">Specialist Weight Management Services </w:t>
      </w:r>
      <w:r w:rsidR="000C57AA">
        <w:rPr>
          <w:rFonts w:ascii="Arial" w:hAnsi="Arial" w:cs="Arial"/>
        </w:rPr>
        <w:t xml:space="preserve">(Tier 3) and </w:t>
      </w:r>
      <w:r w:rsidRPr="00AC3216">
        <w:rPr>
          <w:rFonts w:ascii="Arial" w:hAnsi="Arial" w:cs="Arial"/>
        </w:rPr>
        <w:t>surgical pathways (Tier 4)</w:t>
      </w:r>
      <w:r w:rsidR="000C57AA">
        <w:rPr>
          <w:rFonts w:ascii="Arial" w:hAnsi="Arial" w:cs="Arial"/>
        </w:rPr>
        <w:t xml:space="preserve"> </w:t>
      </w:r>
      <w:r w:rsidR="000C57AA" w:rsidRPr="000C57AA">
        <w:rPr>
          <w:rFonts w:ascii="Arial" w:hAnsi="Arial" w:cs="Arial"/>
        </w:rPr>
        <w:t>do not count towards achievement of this indicator.</w:t>
      </w:r>
    </w:p>
    <w:p w14:paraId="210D541B" w14:textId="77777777" w:rsidR="00AC3216" w:rsidRPr="00416FA1" w:rsidRDefault="00AC3216" w:rsidP="00D13FFC">
      <w:pPr>
        <w:pStyle w:val="Heading1"/>
        <w:spacing w:before="120" w:after="120" w:line="276" w:lineRule="auto"/>
        <w:jc w:val="both"/>
        <w:rPr>
          <w:b/>
          <w:bCs/>
          <w:color w:val="auto"/>
        </w:rPr>
      </w:pPr>
      <w:r w:rsidRPr="00416FA1">
        <w:rPr>
          <w:b/>
          <w:bCs/>
          <w:color w:val="auto"/>
        </w:rPr>
        <w:t>4. What happens if no suitable weight management service is available?</w:t>
      </w:r>
    </w:p>
    <w:p w14:paraId="007589F2" w14:textId="6AF3E2C9" w:rsidR="00416FA1" w:rsidRDefault="009E26F3" w:rsidP="00D13FFC">
      <w:pPr>
        <w:pStyle w:val="Paragraphtext"/>
        <w:spacing w:before="120" w:after="120" w:line="276" w:lineRule="auto"/>
        <w:jc w:val="both"/>
        <w:rPr>
          <w:rFonts w:ascii="Arial" w:hAnsi="Arial" w:cs="Arial"/>
        </w:rPr>
      </w:pPr>
      <w:r w:rsidRPr="00AC3216">
        <w:rPr>
          <w:rFonts w:ascii="Arial" w:hAnsi="Arial" w:cs="Arial"/>
        </w:rPr>
        <w:t>As services are available both in person and online nationally,</w:t>
      </w:r>
      <w:r>
        <w:rPr>
          <w:rFonts w:ascii="Arial" w:hAnsi="Arial" w:cs="Arial"/>
        </w:rPr>
        <w:t xml:space="preserve"> in addition to locally commissioned services, </w:t>
      </w:r>
      <w:r w:rsidRPr="00AC3216">
        <w:rPr>
          <w:rFonts w:ascii="Arial" w:hAnsi="Arial" w:cs="Arial"/>
        </w:rPr>
        <w:t xml:space="preserve">it is expected that </w:t>
      </w:r>
      <w:r>
        <w:rPr>
          <w:rFonts w:ascii="Arial" w:hAnsi="Arial" w:cs="Arial"/>
        </w:rPr>
        <w:t>most patients would be</w:t>
      </w:r>
      <w:r w:rsidRPr="00AC3216">
        <w:rPr>
          <w:rFonts w:ascii="Arial" w:hAnsi="Arial" w:cs="Arial"/>
        </w:rPr>
        <w:t xml:space="preserve"> </w:t>
      </w:r>
      <w:r w:rsidR="00D848B3">
        <w:rPr>
          <w:rFonts w:ascii="Arial" w:hAnsi="Arial" w:cs="Arial"/>
        </w:rPr>
        <w:t xml:space="preserve">able to access </w:t>
      </w:r>
      <w:r w:rsidRPr="00AC3216">
        <w:rPr>
          <w:rFonts w:ascii="Arial" w:hAnsi="Arial" w:cs="Arial"/>
        </w:rPr>
        <w:t>a suitable weight management service</w:t>
      </w:r>
      <w:r>
        <w:rPr>
          <w:rFonts w:ascii="Arial" w:hAnsi="Arial" w:cs="Arial"/>
        </w:rPr>
        <w:t>.</w:t>
      </w:r>
      <w:r w:rsidRPr="00AC3216">
        <w:rPr>
          <w:rFonts w:ascii="Arial" w:hAnsi="Arial" w:cs="Arial"/>
        </w:rPr>
        <w:t xml:space="preserve"> </w:t>
      </w:r>
      <w:r w:rsidR="00AC3216" w:rsidRPr="00AC3216">
        <w:rPr>
          <w:rFonts w:ascii="Arial" w:hAnsi="Arial" w:cs="Arial"/>
        </w:rPr>
        <w:t xml:space="preserve">Where no appropriate or accessible service is available, practices may apply a Personalised Care Adjustment so that achievement is not adversely affected by local commissioning or access constraints. </w:t>
      </w:r>
    </w:p>
    <w:p w14:paraId="66047688" w14:textId="2D255FD7" w:rsidR="00AC3216" w:rsidRPr="00416FA1" w:rsidRDefault="00AC3216" w:rsidP="00D13FFC">
      <w:pPr>
        <w:pStyle w:val="Heading1"/>
        <w:spacing w:before="120" w:after="120" w:line="276" w:lineRule="auto"/>
        <w:jc w:val="both"/>
        <w:rPr>
          <w:b/>
          <w:bCs/>
          <w:color w:val="auto"/>
        </w:rPr>
      </w:pPr>
      <w:r w:rsidRPr="00416FA1">
        <w:rPr>
          <w:b/>
          <w:bCs/>
          <w:color w:val="auto"/>
        </w:rPr>
        <w:t xml:space="preserve">5. How should </w:t>
      </w:r>
      <w:r w:rsidR="009E26F3">
        <w:rPr>
          <w:b/>
          <w:bCs/>
          <w:color w:val="auto"/>
        </w:rPr>
        <w:t>differences</w:t>
      </w:r>
      <w:r w:rsidR="009E26F3" w:rsidRPr="00416FA1">
        <w:rPr>
          <w:b/>
          <w:bCs/>
          <w:color w:val="auto"/>
        </w:rPr>
        <w:t xml:space="preserve"> </w:t>
      </w:r>
      <w:r w:rsidR="009E26F3">
        <w:rPr>
          <w:b/>
          <w:bCs/>
          <w:color w:val="auto"/>
        </w:rPr>
        <w:t>in locally commissioned service specifications across</w:t>
      </w:r>
      <w:r w:rsidR="009E26F3" w:rsidRPr="00416FA1">
        <w:rPr>
          <w:b/>
          <w:bCs/>
          <w:color w:val="auto"/>
        </w:rPr>
        <w:t xml:space="preserve"> </w:t>
      </w:r>
      <w:r w:rsidRPr="00416FA1">
        <w:rPr>
          <w:b/>
          <w:bCs/>
          <w:color w:val="auto"/>
        </w:rPr>
        <w:t>ICBs be managed?</w:t>
      </w:r>
    </w:p>
    <w:p w14:paraId="544420E3" w14:textId="77777777" w:rsidR="00AC3216" w:rsidRPr="00AC3216" w:rsidRDefault="00AC3216" w:rsidP="00D13FFC">
      <w:pPr>
        <w:pStyle w:val="Paragraphtext"/>
        <w:spacing w:before="120" w:after="120" w:line="276" w:lineRule="auto"/>
        <w:contextualSpacing/>
        <w:jc w:val="both"/>
        <w:rPr>
          <w:rFonts w:ascii="Arial" w:hAnsi="Arial" w:cs="Arial"/>
        </w:rPr>
      </w:pPr>
      <w:r w:rsidRPr="00AC3216">
        <w:rPr>
          <w:rFonts w:ascii="Arial" w:hAnsi="Arial" w:cs="Arial"/>
        </w:rPr>
        <w:t>The focus should be on whether local services meet the NICE criteria. Where there is uncertainty:</w:t>
      </w:r>
    </w:p>
    <w:p w14:paraId="54AE8A5E" w14:textId="77777777" w:rsidR="00AC3216" w:rsidRPr="00AC3216" w:rsidRDefault="00AC3216" w:rsidP="00D13FFC">
      <w:pPr>
        <w:pStyle w:val="Bullet"/>
        <w:spacing w:before="120" w:after="120" w:line="276" w:lineRule="auto"/>
        <w:contextualSpacing/>
        <w:jc w:val="both"/>
        <w:rPr>
          <w:rFonts w:cs="Arial"/>
          <w:szCs w:val="24"/>
        </w:rPr>
      </w:pPr>
      <w:r w:rsidRPr="00AC3216">
        <w:rPr>
          <w:rFonts w:cs="Arial"/>
          <w:szCs w:val="24"/>
        </w:rPr>
        <w:t>Engage local clinical or operational leads</w:t>
      </w:r>
    </w:p>
    <w:p w14:paraId="46FF1330" w14:textId="77777777" w:rsidR="00AC3216" w:rsidRPr="00AC3216" w:rsidRDefault="00AC3216" w:rsidP="00D13FFC">
      <w:pPr>
        <w:pStyle w:val="Bullet"/>
        <w:spacing w:before="120" w:after="120" w:line="276" w:lineRule="auto"/>
        <w:contextualSpacing/>
        <w:jc w:val="both"/>
        <w:rPr>
          <w:rFonts w:cs="Arial"/>
          <w:szCs w:val="24"/>
        </w:rPr>
      </w:pPr>
      <w:r w:rsidRPr="00AC3216">
        <w:rPr>
          <w:rFonts w:cs="Arial"/>
          <w:szCs w:val="24"/>
        </w:rPr>
        <w:t>Liaise with local authorities (where relevant)</w:t>
      </w:r>
    </w:p>
    <w:p w14:paraId="428FE683" w14:textId="77777777" w:rsidR="00AC3216" w:rsidRPr="00AC3216" w:rsidRDefault="00AC3216" w:rsidP="00D13FFC">
      <w:pPr>
        <w:pStyle w:val="Bullet"/>
        <w:spacing w:before="120" w:after="120" w:line="276" w:lineRule="auto"/>
        <w:contextualSpacing/>
        <w:jc w:val="both"/>
        <w:rPr>
          <w:rFonts w:cs="Arial"/>
          <w:szCs w:val="24"/>
        </w:rPr>
      </w:pPr>
      <w:r w:rsidRPr="00AC3216">
        <w:rPr>
          <w:rFonts w:cs="Arial"/>
          <w:szCs w:val="24"/>
        </w:rPr>
        <w:t>Confirm that services include the required components</w:t>
      </w:r>
    </w:p>
    <w:p w14:paraId="258B13C5"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This supports consistent interpretation while allowing local flexibility.</w:t>
      </w:r>
    </w:p>
    <w:p w14:paraId="638240C9" w14:textId="77777777" w:rsidR="00AC3216" w:rsidRPr="00416FA1" w:rsidRDefault="00AC3216" w:rsidP="00D13FFC">
      <w:pPr>
        <w:pStyle w:val="Heading1"/>
        <w:spacing w:before="120" w:after="120" w:line="276" w:lineRule="auto"/>
        <w:jc w:val="both"/>
        <w:rPr>
          <w:b/>
          <w:bCs/>
          <w:color w:val="auto"/>
        </w:rPr>
      </w:pPr>
      <w:r w:rsidRPr="00416FA1">
        <w:rPr>
          <w:b/>
          <w:bCs/>
          <w:color w:val="auto"/>
        </w:rPr>
        <w:t>6. Has OB005 replaced locally commissioned tirzepatide obesity medication pathways?</w:t>
      </w:r>
    </w:p>
    <w:p w14:paraId="660F96BA" w14:textId="74C2DAC5" w:rsidR="00AC3216" w:rsidRPr="00AC3216" w:rsidRDefault="00AC3216" w:rsidP="00D13FFC">
      <w:pPr>
        <w:spacing w:before="120" w:after="120" w:line="276" w:lineRule="auto"/>
        <w:jc w:val="both"/>
        <w:rPr>
          <w:rFonts w:cs="Arial"/>
          <w:szCs w:val="24"/>
        </w:rPr>
      </w:pPr>
      <w:r w:rsidRPr="00AC3216">
        <w:rPr>
          <w:rFonts w:cs="Arial"/>
          <w:szCs w:val="24"/>
        </w:rPr>
        <w:t>OB005 provides a nationally consistent framework for incentivising general practice activity relating to the identification, assessment, prescribing and ongoing management of eligible patients.</w:t>
      </w:r>
    </w:p>
    <w:p w14:paraId="17E488EF" w14:textId="724F9F31" w:rsidR="00AC3216" w:rsidRPr="00AC3216" w:rsidRDefault="00AC3216" w:rsidP="00D13FFC">
      <w:pPr>
        <w:spacing w:before="120" w:after="120" w:line="276" w:lineRule="auto"/>
        <w:jc w:val="both"/>
        <w:rPr>
          <w:rFonts w:cs="Arial"/>
          <w:szCs w:val="24"/>
        </w:rPr>
      </w:pPr>
      <w:r w:rsidRPr="00AC3216">
        <w:rPr>
          <w:rFonts w:cs="Arial"/>
          <w:szCs w:val="24"/>
        </w:rPr>
        <w:lastRenderedPageBreak/>
        <w:t>A separate Local Enhanced Service (LES) for general practice is not required to reimburse practices for delivering tirzepatide (Mounjaro) prescribing and associated care covered by OB005, as these activities are now incorporated within the national Quality and Outcomes Framework (QOF).</w:t>
      </w:r>
    </w:p>
    <w:p w14:paraId="3565E94E" w14:textId="77777777" w:rsidR="00AC3216" w:rsidRPr="00AC3216" w:rsidRDefault="00AC3216" w:rsidP="00D13FFC">
      <w:pPr>
        <w:spacing w:before="120" w:after="120" w:line="276" w:lineRule="auto"/>
        <w:jc w:val="both"/>
        <w:rPr>
          <w:rFonts w:cs="Arial"/>
          <w:szCs w:val="24"/>
        </w:rPr>
      </w:pPr>
      <w:r w:rsidRPr="00AC3216">
        <w:rPr>
          <w:rFonts w:cs="Arial"/>
          <w:szCs w:val="24"/>
        </w:rPr>
        <w:t xml:space="preserve">However, OB005 does not replace the need for ICBs to commission the wider obesity pathway required to meet the needs of their local population. Following assessment of local population need, ICBs remain responsible for ensuring appropriate services are commissioned to support delivery of NICE TA1026 and not just the NICE Funding Variation priority cohorts eligible for assessment and treatment in Primary Care. </w:t>
      </w:r>
    </w:p>
    <w:p w14:paraId="15C262B5"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The 2026/27 eligible cohort is expected to be managed at a controlled scale under the NICE TA1026 Funding Variation, making delivery compatible with existing medication review and long-term condition patient management.</w:t>
      </w:r>
    </w:p>
    <w:p w14:paraId="5D5178FE" w14:textId="77777777" w:rsidR="00AC3216" w:rsidRPr="00416FA1" w:rsidRDefault="00AC3216" w:rsidP="00D13FFC">
      <w:pPr>
        <w:pStyle w:val="Heading1"/>
        <w:spacing w:before="120" w:after="120" w:line="276" w:lineRule="auto"/>
        <w:jc w:val="both"/>
        <w:rPr>
          <w:b/>
          <w:bCs/>
          <w:color w:val="auto"/>
        </w:rPr>
      </w:pPr>
      <w:r w:rsidRPr="00416FA1">
        <w:rPr>
          <w:b/>
          <w:bCs/>
          <w:color w:val="auto"/>
        </w:rPr>
        <w:t>7. What behavioural wraparound support services count for OB005?</w:t>
      </w:r>
    </w:p>
    <w:p w14:paraId="199B8DCE"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The Healthier You: NHS Behavioural Support for Obesity Prescribing (BSOP) programme is available for eligible patients where prescribing for weight management has been initiated in general practice. For avoidance of doubt, any patient for whom prescribing has been initiated in general practice is eligible for BSOP and BSOP is available nationally for all of these patients. This service provides the required behavioural support and has been available nationally since June 2025.</w:t>
      </w:r>
    </w:p>
    <w:p w14:paraId="7F9BD007"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For information on referrals to the national NHS BSOP programme, practices can contact their local provider directly for details on how to refer at </w:t>
      </w:r>
      <w:hyperlink r:id="rId17" w:history="1">
        <w:r w:rsidRPr="00AC3216">
          <w:rPr>
            <w:rStyle w:val="Hyperlink"/>
            <w:rFonts w:ascii="Arial" w:hAnsi="Arial" w:cs="Arial"/>
          </w:rPr>
          <w:t>Healthier You NHS Behavioural Support for Obesity Prescribing Programme: Provider Contact details, can</w:t>
        </w:r>
      </w:hyperlink>
      <w:r w:rsidRPr="00AC3216">
        <w:rPr>
          <w:rFonts w:ascii="Arial" w:hAnsi="Arial" w:cs="Arial"/>
        </w:rPr>
        <w:t xml:space="preserve"> contact their ICB commissioner or email </w:t>
      </w:r>
      <w:hyperlink r:id="rId18" w:history="1">
        <w:r w:rsidRPr="00AC3216">
          <w:rPr>
            <w:rStyle w:val="Hyperlink"/>
            <w:rFonts w:ascii="Arial" w:hAnsi="Arial" w:cs="Arial"/>
          </w:rPr>
          <w:t>england.healthier-you@nhs.net</w:t>
        </w:r>
      </w:hyperlink>
      <w:r w:rsidRPr="00AC3216">
        <w:rPr>
          <w:rFonts w:ascii="Arial" w:hAnsi="Arial" w:cs="Arial"/>
        </w:rPr>
        <w:t>.</w:t>
      </w:r>
    </w:p>
    <w:p w14:paraId="1788A597"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Commissioners may also choose to commission a local equivalent service that meets the requirements for tirzepatide (Mounjaro) prescribing in primary care for the management of obesity. However, this is not a mandated requirement, as NHS BSOP is available nationally.</w:t>
      </w:r>
    </w:p>
    <w:p w14:paraId="70454DDF" w14:textId="1EFB81BA"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At the time of publication, tirzepatide (Mounjaro®) is the only GLP-1 receptor agonist recommended by NICE under the Funding Variation for NICE TA1026, for initiation and ongoing management in primary care for the treatment of obesity. The behavioural support requirements described within OB005 therefore apply to patients receiving tirzepatide (Mounjaro®) through this pathway. Resultantly, Tier 3 Specialist Weight Management Services do not qualify for OB005 achievement.</w:t>
      </w:r>
    </w:p>
    <w:p w14:paraId="2DC950CF" w14:textId="77777777" w:rsidR="00AC3216" w:rsidRPr="00416FA1" w:rsidRDefault="00AC3216" w:rsidP="00D13FFC">
      <w:pPr>
        <w:pStyle w:val="Heading1"/>
        <w:spacing w:line="276" w:lineRule="auto"/>
        <w:jc w:val="both"/>
        <w:rPr>
          <w:b/>
          <w:bCs/>
          <w:color w:val="auto"/>
        </w:rPr>
      </w:pPr>
      <w:r w:rsidRPr="00416FA1">
        <w:rPr>
          <w:b/>
          <w:bCs/>
          <w:color w:val="auto"/>
        </w:rPr>
        <w:lastRenderedPageBreak/>
        <w:t>8. The NICE guidance for type 2 diabetes recommends that patients with atherosclerotic cardiovascular disease are prescribed semaglutide. There is an overlap in eligibility between NICE diabetes and obesity guidance. How should GPs manage these patients?</w:t>
      </w:r>
    </w:p>
    <w:p w14:paraId="1F2DE526" w14:textId="023A3037" w:rsidR="00AC3216" w:rsidRPr="00AC3216" w:rsidRDefault="00AC3216" w:rsidP="00D13FFC">
      <w:pPr>
        <w:pStyle w:val="Paragraphtext"/>
        <w:spacing w:before="120" w:after="120" w:line="276" w:lineRule="auto"/>
        <w:contextualSpacing/>
        <w:jc w:val="both"/>
        <w:rPr>
          <w:rFonts w:ascii="Arial" w:hAnsi="Arial" w:cs="Arial"/>
        </w:rPr>
      </w:pPr>
      <w:r w:rsidRPr="00AC3216">
        <w:rPr>
          <w:rFonts w:ascii="Arial" w:hAnsi="Arial" w:cs="Arial"/>
        </w:rPr>
        <w:t xml:space="preserve">It is expected some patients will meet the criteria for multiple clinical management pathways that incorporate GLP-1 drugs but for different indications. GPs should use clinical judgement and shared decision making to determine the most suitable pathway for individual patients. If eligible patients are not prescribed tirzepatide (Mounjaro®) due to already being in receipt of Semaglutide (Ozempic ®) for type 2 diabetes, GPs can apply a PCA. </w:t>
      </w:r>
      <w:bookmarkEnd w:id="0"/>
      <w:bookmarkEnd w:id="1"/>
      <w:r w:rsidRPr="00AC3216">
        <w:rPr>
          <w:rFonts w:ascii="Arial" w:hAnsi="Arial" w:cs="Arial"/>
        </w:rPr>
        <w:t>As part of future development work we will consider options for automatically removing these patients from the OB005 denominator, limiting the need for GPs to apply a PCA.</w:t>
      </w:r>
    </w:p>
    <w:p w14:paraId="3EBCB560" w14:textId="02D0DC1A" w:rsidR="00AC3216" w:rsidRPr="00416FA1" w:rsidRDefault="00AC3216" w:rsidP="00D13FFC">
      <w:pPr>
        <w:pStyle w:val="Heading1"/>
        <w:spacing w:line="276" w:lineRule="auto"/>
        <w:jc w:val="both"/>
        <w:rPr>
          <w:b/>
          <w:bCs/>
          <w:color w:val="auto"/>
        </w:rPr>
      </w:pPr>
      <w:r w:rsidRPr="00416FA1">
        <w:rPr>
          <w:b/>
          <w:bCs/>
          <w:color w:val="auto"/>
        </w:rPr>
        <w:t xml:space="preserve">9. How </w:t>
      </w:r>
      <w:r w:rsidR="003E1FD8">
        <w:rPr>
          <w:b/>
          <w:bCs/>
          <w:color w:val="auto"/>
        </w:rPr>
        <w:t xml:space="preserve">does </w:t>
      </w:r>
      <w:r w:rsidRPr="00416FA1">
        <w:rPr>
          <w:b/>
          <w:bCs/>
          <w:color w:val="auto"/>
        </w:rPr>
        <w:t xml:space="preserve">OB005 </w:t>
      </w:r>
      <w:r w:rsidR="003E1FD8">
        <w:rPr>
          <w:b/>
          <w:bCs/>
          <w:color w:val="auto"/>
        </w:rPr>
        <w:t xml:space="preserve">interact with </w:t>
      </w:r>
      <w:r w:rsidRPr="00416FA1">
        <w:rPr>
          <w:b/>
          <w:bCs/>
          <w:color w:val="auto"/>
        </w:rPr>
        <w:t>local</w:t>
      </w:r>
      <w:r w:rsidR="003E1FD8">
        <w:rPr>
          <w:b/>
          <w:bCs/>
          <w:color w:val="auto"/>
        </w:rPr>
        <w:t>ly commissioned</w:t>
      </w:r>
      <w:r w:rsidRPr="00416FA1">
        <w:rPr>
          <w:b/>
          <w:bCs/>
          <w:color w:val="auto"/>
        </w:rPr>
        <w:t xml:space="preserve"> tirzepatide</w:t>
      </w:r>
      <w:r w:rsidR="003E1FD8">
        <w:rPr>
          <w:b/>
          <w:bCs/>
          <w:color w:val="auto"/>
        </w:rPr>
        <w:t xml:space="preserve"> services</w:t>
      </w:r>
      <w:r w:rsidRPr="00416FA1">
        <w:rPr>
          <w:b/>
          <w:bCs/>
          <w:color w:val="auto"/>
        </w:rPr>
        <w:t>?</w:t>
      </w:r>
    </w:p>
    <w:p w14:paraId="68870428" w14:textId="737DBFEA"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The introduction of OB005 means that a separate Local </w:t>
      </w:r>
      <w:r w:rsidR="003E1FD8">
        <w:rPr>
          <w:rFonts w:ascii="Arial" w:hAnsi="Arial" w:cs="Arial"/>
        </w:rPr>
        <w:t xml:space="preserve">Commissioned </w:t>
      </w:r>
      <w:r w:rsidRPr="00AC3216">
        <w:rPr>
          <w:rFonts w:ascii="Arial" w:hAnsi="Arial" w:cs="Arial"/>
        </w:rPr>
        <w:t>Service (L</w:t>
      </w:r>
      <w:r w:rsidR="003E1FD8">
        <w:rPr>
          <w:rFonts w:ascii="Arial" w:hAnsi="Arial" w:cs="Arial"/>
        </w:rPr>
        <w:t>C</w:t>
      </w:r>
      <w:r w:rsidRPr="00AC3216">
        <w:rPr>
          <w:rFonts w:ascii="Arial" w:hAnsi="Arial" w:cs="Arial"/>
        </w:rPr>
        <w:t>S) to reimburse general practice for activities covered by the indicator is no longer required. OB005 provides a nationally funded Quality and Outcomes Framework (QOF) payment for practices delivering the identification, assessment, initiation and ongoing management of eligible patients prescribed tirzepatide (Mounjaro®) in accordance with the NICE Funding Variation for NICE TA1026.</w:t>
      </w:r>
    </w:p>
    <w:p w14:paraId="1EB75C08" w14:textId="65A060B1"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This is separate from the funding for the medicine itself. ICBs receive a dedicated allocation from NHS England </w:t>
      </w:r>
      <w:r w:rsidR="00714507">
        <w:rPr>
          <w:rFonts w:ascii="Arial" w:hAnsi="Arial" w:cs="Arial"/>
        </w:rPr>
        <w:t>as</w:t>
      </w:r>
      <w:r w:rsidRPr="00AC3216">
        <w:rPr>
          <w:rFonts w:ascii="Arial" w:hAnsi="Arial" w:cs="Arial"/>
        </w:rPr>
        <w:t xml:space="preserve"> support towards the costs of weight loss drug prescribing across all settings of care.</w:t>
      </w:r>
    </w:p>
    <w:p w14:paraId="7B526F27" w14:textId="6064FBAF"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For 2026/27, the NHS priority eligible cohort is intentionally limited under the NICE funding variation for NICE TA1026. On average, practices are expected to manage an average of 16 eligible patients, with the QOF indicator providing financial incentive for achieving the </w:t>
      </w:r>
      <w:r w:rsidR="00E9581B">
        <w:rPr>
          <w:rFonts w:ascii="Arial" w:hAnsi="Arial" w:cs="Arial"/>
        </w:rPr>
        <w:t>necessary achievement</w:t>
      </w:r>
      <w:r w:rsidRPr="00AC3216">
        <w:rPr>
          <w:rFonts w:ascii="Arial" w:hAnsi="Arial" w:cs="Arial"/>
        </w:rPr>
        <w:t xml:space="preserve"> threshold</w:t>
      </w:r>
      <w:r w:rsidR="00E9581B">
        <w:rPr>
          <w:rFonts w:ascii="Arial" w:hAnsi="Arial" w:cs="Arial"/>
        </w:rPr>
        <w:t>s</w:t>
      </w:r>
      <w:r w:rsidRPr="00AC3216">
        <w:rPr>
          <w:rFonts w:ascii="Arial" w:hAnsi="Arial" w:cs="Arial"/>
        </w:rPr>
        <w:t>.</w:t>
      </w:r>
    </w:p>
    <w:p w14:paraId="247F199D" w14:textId="77777777" w:rsidR="00AC3216" w:rsidRPr="00AC3216" w:rsidRDefault="00AC3216" w:rsidP="00D13FFC">
      <w:pPr>
        <w:pStyle w:val="Paragraphtext"/>
        <w:spacing w:before="120" w:after="120" w:line="276" w:lineRule="auto"/>
        <w:jc w:val="both"/>
        <w:rPr>
          <w:rFonts w:ascii="Arial" w:hAnsi="Arial" w:cs="Arial"/>
        </w:rPr>
      </w:pPr>
      <w:r w:rsidRPr="00AC3216">
        <w:rPr>
          <w:rFonts w:ascii="Arial" w:hAnsi="Arial" w:cs="Arial"/>
        </w:rPr>
        <w:t xml:space="preserve">Delivery of prescribing, dose titration, routine monitoring and follow-up does not need to be undertaken solely by GPs. Practices should utilise the wider primary care multidisciplinary team where appropriate, including pharmacists, pharmacy </w:t>
      </w:r>
      <w:r w:rsidRPr="00AC3216">
        <w:rPr>
          <w:rFonts w:ascii="Arial" w:hAnsi="Arial" w:cs="Arial"/>
        </w:rPr>
        <w:lastRenderedPageBreak/>
        <w:t>technicians, nurses and other suitably trained staff, including Additional Roles Reimbursement Scheme (ARRS) roles where available, supported by local commissioning arrangements where required.</w:t>
      </w:r>
    </w:p>
    <w:p w14:paraId="3B066BFC" w14:textId="77777777" w:rsidR="00AC3216" w:rsidRPr="00D13FFC" w:rsidRDefault="00AC3216" w:rsidP="00D13FFC">
      <w:pPr>
        <w:pStyle w:val="Heading1"/>
        <w:spacing w:line="276" w:lineRule="auto"/>
        <w:jc w:val="both"/>
        <w:rPr>
          <w:b/>
          <w:bCs/>
          <w:color w:val="auto"/>
        </w:rPr>
      </w:pPr>
      <w:r w:rsidRPr="00D13FFC">
        <w:rPr>
          <w:b/>
          <w:bCs/>
          <w:color w:val="auto"/>
        </w:rPr>
        <w:t>9. Which SNOMED CT codes should practices record to evidence the required activity for QOF Indicator OB005??</w:t>
      </w:r>
    </w:p>
    <w:p w14:paraId="0069751F" w14:textId="18E4CFD7" w:rsidR="00AC3216" w:rsidRPr="00676DCF" w:rsidRDefault="00AC3216" w:rsidP="00676DCF">
      <w:pPr>
        <w:spacing w:before="120" w:after="120" w:line="276" w:lineRule="auto"/>
        <w:jc w:val="both"/>
      </w:pPr>
      <w:r w:rsidRPr="00AC3216">
        <w:rPr>
          <w:rFonts w:cs="Arial"/>
          <w:szCs w:val="24"/>
        </w:rPr>
        <w:t>To ensure the required activity for OB005 is appropriately recognised, practices should use the SNOMED CT codes provided below, together with the appropriate tirzepatide (Mounjaro) prescribing code. These codes support consistent recording of the assessment, clinical management and patient care required to meet the indicator. All codes are available through the </w:t>
      </w:r>
      <w:hyperlink r:id="rId19" w:tgtFrame="_blank" w:history="1">
        <w:r w:rsidRPr="00AC3216">
          <w:rPr>
            <w:rFonts w:cs="Arial"/>
            <w:szCs w:val="24"/>
          </w:rPr>
          <w:t>Primary Care Domain Reference Set Portal</w:t>
        </w:r>
      </w:hyperlink>
      <w:r w:rsidR="00676DCF">
        <w:t>.</w:t>
      </w:r>
      <w:r w:rsidRPr="00AC3216">
        <w:rPr>
          <w:rFonts w:cs="Arial"/>
          <w:szCs w:val="24"/>
        </w:rPr>
        <w:t> </w:t>
      </w:r>
    </w:p>
    <w:p w14:paraId="68BEE02E" w14:textId="77777777" w:rsidR="00AC3216" w:rsidRPr="00AC3216" w:rsidRDefault="00AC3216" w:rsidP="00D13FFC">
      <w:pPr>
        <w:spacing w:before="120" w:after="120" w:line="276" w:lineRule="auto"/>
        <w:jc w:val="both"/>
        <w:rPr>
          <w:rFonts w:cs="Arial"/>
          <w:szCs w:val="24"/>
        </w:rPr>
      </w:pPr>
      <w:r w:rsidRPr="00AC3216">
        <w:rPr>
          <w:rFonts w:cs="Arial"/>
          <w:szCs w:val="24"/>
        </w:rPr>
        <w:t>Ultimately, QOF Indicator OB005 supports the delivery of high-quality, evidence-based care for people living with obesity. By embedding obesity assessment and clinical management within routine primary care, alongside nationally commissioned behavioural support and appropriate access to pharmacotherapy, the indicator promotes earlier intervention, more consistent delivery of care and improved health outcomes for patients across England. </w:t>
      </w:r>
    </w:p>
    <w:p w14:paraId="7DAB2E35" w14:textId="77777777" w:rsidR="00AC3216" w:rsidRDefault="00AC3216" w:rsidP="00AC3216">
      <w:pPr>
        <w:pStyle w:val="Paragraphtext"/>
        <w:spacing w:before="120" w:after="120"/>
        <w:contextualSpacing/>
        <w:rPr>
          <w:rFonts w:ascii="Arial" w:hAnsi="Arial" w:cs="Arial"/>
        </w:rPr>
      </w:pPr>
    </w:p>
    <w:p w14:paraId="14334147" w14:textId="77777777" w:rsidR="00AC3216" w:rsidRDefault="00AC3216" w:rsidP="00AC3216">
      <w:pPr>
        <w:pStyle w:val="Paragraphtext"/>
        <w:spacing w:before="120" w:after="120"/>
        <w:contextualSpacing/>
        <w:rPr>
          <w:rFonts w:ascii="Arial" w:hAnsi="Arial" w:cs="Arial"/>
        </w:rPr>
      </w:pPr>
    </w:p>
    <w:p w14:paraId="1EECE7C1" w14:textId="77777777" w:rsidR="00AC3216" w:rsidRDefault="00AC3216" w:rsidP="00AC3216">
      <w:pPr>
        <w:pStyle w:val="Paragraphtext"/>
        <w:spacing w:before="120" w:after="120"/>
        <w:contextualSpacing/>
        <w:rPr>
          <w:rFonts w:ascii="Arial" w:hAnsi="Arial" w:cs="Arial"/>
        </w:rPr>
      </w:pPr>
    </w:p>
    <w:p w14:paraId="2FEF82F1" w14:textId="77777777" w:rsidR="00AC3216" w:rsidRDefault="00AC3216" w:rsidP="00AC3216">
      <w:pPr>
        <w:pStyle w:val="Paragraphtext"/>
        <w:spacing w:before="120" w:after="120"/>
        <w:contextualSpacing/>
        <w:rPr>
          <w:rFonts w:ascii="Arial" w:hAnsi="Arial" w:cs="Arial"/>
        </w:rPr>
      </w:pPr>
    </w:p>
    <w:p w14:paraId="31048FA1" w14:textId="77777777" w:rsidR="00AC3216" w:rsidRDefault="00AC3216" w:rsidP="00AC3216">
      <w:pPr>
        <w:pStyle w:val="Paragraphtext"/>
        <w:spacing w:before="120" w:after="120"/>
        <w:contextualSpacing/>
        <w:rPr>
          <w:rFonts w:ascii="Arial" w:hAnsi="Arial" w:cs="Arial"/>
        </w:rPr>
      </w:pPr>
    </w:p>
    <w:p w14:paraId="7D183049" w14:textId="77777777" w:rsidR="00AC3216" w:rsidRDefault="00AC3216" w:rsidP="00AC3216">
      <w:pPr>
        <w:pStyle w:val="Paragraphtext"/>
        <w:spacing w:before="120" w:after="120"/>
        <w:contextualSpacing/>
        <w:rPr>
          <w:rFonts w:ascii="Arial" w:hAnsi="Arial" w:cs="Arial"/>
        </w:rPr>
      </w:pPr>
    </w:p>
    <w:p w14:paraId="65C42596" w14:textId="77777777" w:rsidR="00AC3216" w:rsidRDefault="00AC3216" w:rsidP="00AC3216">
      <w:pPr>
        <w:pStyle w:val="Paragraphtext"/>
        <w:spacing w:before="120" w:after="120"/>
        <w:contextualSpacing/>
        <w:rPr>
          <w:rFonts w:ascii="Arial" w:hAnsi="Arial" w:cs="Arial"/>
        </w:rPr>
      </w:pPr>
    </w:p>
    <w:p w14:paraId="097F1F9C" w14:textId="77777777" w:rsidR="00AC3216" w:rsidRDefault="00AC3216" w:rsidP="00AC3216">
      <w:pPr>
        <w:pStyle w:val="Paragraphtext"/>
        <w:spacing w:before="120" w:after="120"/>
        <w:contextualSpacing/>
        <w:rPr>
          <w:rFonts w:ascii="Arial" w:hAnsi="Arial" w:cs="Arial"/>
        </w:rPr>
      </w:pPr>
    </w:p>
    <w:p w14:paraId="4475E058" w14:textId="77777777" w:rsidR="00AC3216" w:rsidRDefault="00AC3216" w:rsidP="00AC3216">
      <w:pPr>
        <w:pStyle w:val="Paragraphtext"/>
        <w:spacing w:before="120" w:after="120"/>
        <w:contextualSpacing/>
        <w:rPr>
          <w:rFonts w:ascii="Arial" w:hAnsi="Arial" w:cs="Arial"/>
        </w:rPr>
      </w:pPr>
    </w:p>
    <w:p w14:paraId="37AA7E75" w14:textId="77777777" w:rsidR="00AC3216" w:rsidRDefault="00AC3216" w:rsidP="00AC3216">
      <w:pPr>
        <w:pStyle w:val="Paragraphtext"/>
        <w:spacing w:before="120" w:after="120"/>
        <w:contextualSpacing/>
        <w:rPr>
          <w:rFonts w:ascii="Arial" w:hAnsi="Arial" w:cs="Arial"/>
        </w:rPr>
      </w:pPr>
    </w:p>
    <w:p w14:paraId="4F9892C0" w14:textId="77777777" w:rsidR="00416FA1" w:rsidRDefault="00416FA1" w:rsidP="00AC3216">
      <w:pPr>
        <w:pStyle w:val="Paragraphtext"/>
        <w:spacing w:before="120" w:after="120"/>
        <w:contextualSpacing/>
        <w:rPr>
          <w:rFonts w:ascii="Arial" w:hAnsi="Arial" w:cs="Arial"/>
        </w:rPr>
        <w:sectPr w:rsidR="00416FA1" w:rsidSect="00D13FFC">
          <w:headerReference w:type="default" r:id="rId20"/>
          <w:headerReference w:type="first" r:id="rId21"/>
          <w:pgSz w:w="11906" w:h="16838"/>
          <w:pgMar w:top="2127" w:right="1440" w:bottom="1440" w:left="1440" w:header="708" w:footer="708" w:gutter="0"/>
          <w:cols w:space="708"/>
          <w:titlePg/>
          <w:docGrid w:linePitch="360"/>
        </w:sectPr>
      </w:pPr>
    </w:p>
    <w:p w14:paraId="0E618055" w14:textId="77777777" w:rsidR="00AC3216" w:rsidRPr="00AC3216" w:rsidRDefault="00AC3216" w:rsidP="00AC3216">
      <w:pPr>
        <w:pStyle w:val="Paragraphtext"/>
        <w:spacing w:before="120" w:after="120"/>
        <w:contextualSpacing/>
        <w:rPr>
          <w:rFonts w:ascii="Arial" w:hAnsi="Arial" w:cs="Arial"/>
        </w:rPr>
      </w:pPr>
    </w:p>
    <w:tbl>
      <w:tblPr>
        <w:tblW w:w="5000"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546"/>
        <w:gridCol w:w="2410"/>
        <w:gridCol w:w="2229"/>
        <w:gridCol w:w="3016"/>
        <w:gridCol w:w="2854"/>
        <w:gridCol w:w="893"/>
      </w:tblGrid>
      <w:tr w:rsidR="00AC3216" w:rsidRPr="00AC3216" w14:paraId="39425FDF" w14:textId="77777777" w:rsidTr="00416FA1">
        <w:trPr>
          <w:trHeight w:val="315"/>
        </w:trPr>
        <w:tc>
          <w:tcPr>
            <w:tcW w:w="913" w:type="pct"/>
            <w:tcBorders>
              <w:top w:val="single" w:sz="4" w:space="0" w:color="auto"/>
              <w:left w:val="single" w:sz="4" w:space="0" w:color="auto"/>
              <w:bottom w:val="single" w:sz="4" w:space="0" w:color="auto"/>
              <w:right w:val="single" w:sz="4" w:space="0" w:color="auto"/>
            </w:tcBorders>
            <w:hideMark/>
          </w:tcPr>
          <w:p w14:paraId="2B18AC41" w14:textId="77777777" w:rsidR="00AC3216" w:rsidRPr="00122D71" w:rsidRDefault="00AC3216" w:rsidP="00353E96">
            <w:pPr>
              <w:rPr>
                <w:rFonts w:cs="Arial"/>
                <w:b/>
                <w:bCs/>
              </w:rPr>
            </w:pPr>
            <w:r w:rsidRPr="00122D71">
              <w:rPr>
                <w:rFonts w:cs="Arial"/>
                <w:b/>
                <w:bCs/>
              </w:rPr>
              <w:t>Cluster ID </w:t>
            </w:r>
          </w:p>
        </w:tc>
        <w:tc>
          <w:tcPr>
            <w:tcW w:w="864" w:type="pct"/>
            <w:tcBorders>
              <w:top w:val="single" w:sz="4" w:space="0" w:color="auto"/>
              <w:left w:val="single" w:sz="4" w:space="0" w:color="auto"/>
              <w:bottom w:val="single" w:sz="4" w:space="0" w:color="auto"/>
              <w:right w:val="single" w:sz="4" w:space="0" w:color="auto"/>
            </w:tcBorders>
            <w:hideMark/>
          </w:tcPr>
          <w:p w14:paraId="6C94FCF9" w14:textId="77777777" w:rsidR="00AC3216" w:rsidRPr="00122D71" w:rsidRDefault="00AC3216" w:rsidP="00353E96">
            <w:pPr>
              <w:rPr>
                <w:rFonts w:cs="Arial"/>
                <w:b/>
                <w:bCs/>
              </w:rPr>
            </w:pPr>
            <w:r w:rsidRPr="00122D71">
              <w:rPr>
                <w:rFonts w:cs="Arial"/>
                <w:b/>
                <w:bCs/>
              </w:rPr>
              <w:t>Cluster description </w:t>
            </w:r>
          </w:p>
        </w:tc>
        <w:tc>
          <w:tcPr>
            <w:tcW w:w="799" w:type="pct"/>
            <w:tcBorders>
              <w:top w:val="single" w:sz="4" w:space="0" w:color="auto"/>
              <w:left w:val="single" w:sz="4" w:space="0" w:color="auto"/>
              <w:bottom w:val="single" w:sz="4" w:space="0" w:color="auto"/>
              <w:right w:val="single" w:sz="4" w:space="0" w:color="auto"/>
            </w:tcBorders>
            <w:hideMark/>
          </w:tcPr>
          <w:p w14:paraId="2AB9C19D" w14:textId="77777777" w:rsidR="00AC3216" w:rsidRPr="00122D71" w:rsidRDefault="00AC3216" w:rsidP="00353E96">
            <w:pPr>
              <w:rPr>
                <w:rFonts w:cs="Arial"/>
                <w:b/>
                <w:bCs/>
              </w:rPr>
            </w:pPr>
            <w:r w:rsidRPr="00122D71">
              <w:rPr>
                <w:rFonts w:cs="Arial"/>
                <w:b/>
                <w:bCs/>
              </w:rPr>
              <w:t>SNOMED concept ID </w:t>
            </w:r>
          </w:p>
        </w:tc>
        <w:tc>
          <w:tcPr>
            <w:tcW w:w="1081" w:type="pct"/>
            <w:tcBorders>
              <w:top w:val="single" w:sz="4" w:space="0" w:color="auto"/>
              <w:left w:val="single" w:sz="4" w:space="0" w:color="auto"/>
              <w:bottom w:val="single" w:sz="4" w:space="0" w:color="auto"/>
              <w:right w:val="single" w:sz="4" w:space="0" w:color="auto"/>
            </w:tcBorders>
            <w:hideMark/>
          </w:tcPr>
          <w:p w14:paraId="33455FE7" w14:textId="77777777" w:rsidR="00AC3216" w:rsidRPr="00122D71" w:rsidRDefault="00AC3216" w:rsidP="00353E96">
            <w:pPr>
              <w:rPr>
                <w:rFonts w:cs="Arial"/>
                <w:b/>
                <w:bCs/>
              </w:rPr>
            </w:pPr>
            <w:r w:rsidRPr="00122D71">
              <w:rPr>
                <w:rFonts w:cs="Arial"/>
                <w:b/>
                <w:bCs/>
              </w:rPr>
              <w:t>Code description </w:t>
            </w:r>
          </w:p>
        </w:tc>
        <w:tc>
          <w:tcPr>
            <w:tcW w:w="1023" w:type="pct"/>
            <w:tcBorders>
              <w:top w:val="single" w:sz="4" w:space="0" w:color="auto"/>
              <w:left w:val="single" w:sz="4" w:space="0" w:color="auto"/>
              <w:bottom w:val="single" w:sz="4" w:space="0" w:color="auto"/>
              <w:right w:val="single" w:sz="4" w:space="0" w:color="auto"/>
            </w:tcBorders>
            <w:hideMark/>
          </w:tcPr>
          <w:p w14:paraId="077CFFC8" w14:textId="77777777" w:rsidR="00AC3216" w:rsidRPr="00122D71" w:rsidRDefault="00AC3216" w:rsidP="00353E96">
            <w:pPr>
              <w:rPr>
                <w:rFonts w:cs="Arial"/>
                <w:b/>
                <w:bCs/>
              </w:rPr>
            </w:pPr>
            <w:r w:rsidRPr="00122D71">
              <w:rPr>
                <w:rFonts w:cs="Arial"/>
                <w:b/>
                <w:bCs/>
              </w:rPr>
              <w:t>Cluster_Code_String </w:t>
            </w:r>
          </w:p>
        </w:tc>
        <w:tc>
          <w:tcPr>
            <w:tcW w:w="320" w:type="pct"/>
            <w:tcBorders>
              <w:top w:val="single" w:sz="4" w:space="0" w:color="auto"/>
              <w:left w:val="single" w:sz="4" w:space="0" w:color="auto"/>
              <w:bottom w:val="single" w:sz="4" w:space="0" w:color="auto"/>
              <w:right w:val="single" w:sz="4" w:space="0" w:color="auto"/>
            </w:tcBorders>
            <w:hideMark/>
          </w:tcPr>
          <w:p w14:paraId="616D4D7B" w14:textId="77777777" w:rsidR="00AC3216" w:rsidRPr="00122D71" w:rsidRDefault="00AC3216" w:rsidP="00353E96">
            <w:pPr>
              <w:rPr>
                <w:rFonts w:cs="Arial"/>
                <w:b/>
                <w:bCs/>
              </w:rPr>
            </w:pPr>
            <w:r w:rsidRPr="00122D71">
              <w:rPr>
                <w:rFonts w:cs="Arial"/>
                <w:b/>
                <w:bCs/>
              </w:rPr>
              <w:t>Active status </w:t>
            </w:r>
          </w:p>
        </w:tc>
      </w:tr>
      <w:tr w:rsidR="00AC3216" w:rsidRPr="00AC3216" w14:paraId="77647940"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4264AEFA" w14:textId="77777777" w:rsidR="00AC3216" w:rsidRPr="00AC3216" w:rsidRDefault="00AC3216" w:rsidP="00353E96">
            <w:pPr>
              <w:rPr>
                <w:rFonts w:cs="Arial"/>
              </w:rPr>
            </w:pPr>
            <w:r w:rsidRPr="00AC3216">
              <w:rPr>
                <w:rFonts w:cs="Arial"/>
              </w:rPr>
              <w:t>SHARDECMAK_COD </w:t>
            </w:r>
          </w:p>
        </w:tc>
        <w:tc>
          <w:tcPr>
            <w:tcW w:w="864" w:type="pct"/>
            <w:tcBorders>
              <w:top w:val="single" w:sz="4" w:space="0" w:color="auto"/>
              <w:left w:val="single" w:sz="4" w:space="0" w:color="auto"/>
              <w:bottom w:val="single" w:sz="4" w:space="0" w:color="auto"/>
              <w:right w:val="single" w:sz="4" w:space="0" w:color="auto"/>
            </w:tcBorders>
            <w:hideMark/>
          </w:tcPr>
          <w:p w14:paraId="2B9972CE" w14:textId="77777777" w:rsidR="00AC3216" w:rsidRPr="00AC3216" w:rsidRDefault="00AC3216" w:rsidP="00353E96">
            <w:pPr>
              <w:rPr>
                <w:rFonts w:cs="Arial"/>
              </w:rPr>
            </w:pPr>
            <w:r w:rsidRPr="00AC3216">
              <w:rPr>
                <w:rFonts w:cs="Arial"/>
              </w:rPr>
              <w:t>Shared Decision making codes </w:t>
            </w:r>
          </w:p>
        </w:tc>
        <w:tc>
          <w:tcPr>
            <w:tcW w:w="799" w:type="pct"/>
            <w:tcBorders>
              <w:top w:val="single" w:sz="4" w:space="0" w:color="auto"/>
              <w:left w:val="single" w:sz="4" w:space="0" w:color="auto"/>
              <w:bottom w:val="single" w:sz="4" w:space="0" w:color="auto"/>
              <w:right w:val="single" w:sz="4" w:space="0" w:color="auto"/>
            </w:tcBorders>
            <w:hideMark/>
          </w:tcPr>
          <w:p w14:paraId="38D61557" w14:textId="77777777" w:rsidR="00AC3216" w:rsidRPr="00AC3216" w:rsidRDefault="00AC3216" w:rsidP="00353E96">
            <w:pPr>
              <w:rPr>
                <w:rFonts w:cs="Arial"/>
              </w:rPr>
            </w:pPr>
            <w:r w:rsidRPr="00AC3216">
              <w:rPr>
                <w:rFonts w:cs="Arial"/>
              </w:rPr>
              <w:t>815691000000107 </w:t>
            </w:r>
          </w:p>
        </w:tc>
        <w:tc>
          <w:tcPr>
            <w:tcW w:w="1081" w:type="pct"/>
            <w:tcBorders>
              <w:top w:val="single" w:sz="4" w:space="0" w:color="auto"/>
              <w:left w:val="single" w:sz="4" w:space="0" w:color="auto"/>
              <w:bottom w:val="single" w:sz="4" w:space="0" w:color="auto"/>
              <w:right w:val="single" w:sz="4" w:space="0" w:color="auto"/>
            </w:tcBorders>
            <w:hideMark/>
          </w:tcPr>
          <w:p w14:paraId="07FD6F8B" w14:textId="77777777" w:rsidR="00AC3216" w:rsidRPr="00AC3216" w:rsidRDefault="00AC3216" w:rsidP="00353E96">
            <w:pPr>
              <w:rPr>
                <w:rFonts w:cs="Arial"/>
              </w:rPr>
            </w:pPr>
            <w:r w:rsidRPr="00AC3216">
              <w:rPr>
                <w:rFonts w:cs="Arial"/>
              </w:rPr>
              <w:t>Shared decision making (procedure) </w:t>
            </w:r>
          </w:p>
        </w:tc>
        <w:tc>
          <w:tcPr>
            <w:tcW w:w="1023" w:type="pct"/>
            <w:tcBorders>
              <w:top w:val="single" w:sz="4" w:space="0" w:color="auto"/>
              <w:left w:val="single" w:sz="4" w:space="0" w:color="auto"/>
              <w:bottom w:val="single" w:sz="4" w:space="0" w:color="auto"/>
              <w:right w:val="single" w:sz="4" w:space="0" w:color="auto"/>
            </w:tcBorders>
            <w:hideMark/>
          </w:tcPr>
          <w:p w14:paraId="20ACDF2C" w14:textId="77777777" w:rsidR="00AC3216" w:rsidRPr="00AC3216" w:rsidRDefault="00AC3216" w:rsidP="00353E96">
            <w:pPr>
              <w:rPr>
                <w:rFonts w:cs="Arial"/>
              </w:rPr>
            </w:pPr>
            <w:r w:rsidRPr="00AC3216">
              <w:rPr>
                <w:rFonts w:cs="Arial"/>
              </w:rPr>
              <w:t>^999022371000230102 </w:t>
            </w:r>
          </w:p>
        </w:tc>
        <w:tc>
          <w:tcPr>
            <w:tcW w:w="320" w:type="pct"/>
            <w:tcBorders>
              <w:top w:val="single" w:sz="4" w:space="0" w:color="auto"/>
              <w:left w:val="single" w:sz="4" w:space="0" w:color="auto"/>
              <w:bottom w:val="single" w:sz="4" w:space="0" w:color="auto"/>
              <w:right w:val="single" w:sz="4" w:space="0" w:color="auto"/>
            </w:tcBorders>
            <w:hideMark/>
          </w:tcPr>
          <w:p w14:paraId="22FA4CE4" w14:textId="77777777" w:rsidR="00AC3216" w:rsidRPr="00AC3216" w:rsidRDefault="00AC3216" w:rsidP="00353E96">
            <w:pPr>
              <w:rPr>
                <w:rFonts w:cs="Arial"/>
              </w:rPr>
            </w:pPr>
            <w:r w:rsidRPr="00AC3216">
              <w:rPr>
                <w:rFonts w:cs="Arial"/>
              </w:rPr>
              <w:t>1 </w:t>
            </w:r>
          </w:p>
        </w:tc>
      </w:tr>
      <w:tr w:rsidR="00AC3216" w:rsidRPr="00AC3216" w14:paraId="5426A7C7"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648C95D1" w14:textId="77777777" w:rsidR="00AC3216" w:rsidRPr="00AC3216" w:rsidRDefault="00AC3216" w:rsidP="00353E96">
            <w:pPr>
              <w:rPr>
                <w:rFonts w:cs="Arial"/>
              </w:rPr>
            </w:pPr>
            <w:r w:rsidRPr="00AC3216">
              <w:rPr>
                <w:rFonts w:cs="Arial"/>
              </w:rPr>
              <w:t>SHARDECMAK_COD </w:t>
            </w:r>
          </w:p>
        </w:tc>
        <w:tc>
          <w:tcPr>
            <w:tcW w:w="864" w:type="pct"/>
            <w:tcBorders>
              <w:top w:val="single" w:sz="4" w:space="0" w:color="auto"/>
              <w:left w:val="single" w:sz="4" w:space="0" w:color="auto"/>
              <w:bottom w:val="single" w:sz="4" w:space="0" w:color="auto"/>
              <w:right w:val="single" w:sz="4" w:space="0" w:color="auto"/>
            </w:tcBorders>
            <w:hideMark/>
          </w:tcPr>
          <w:p w14:paraId="005C5FA7" w14:textId="77777777" w:rsidR="00AC3216" w:rsidRPr="00AC3216" w:rsidRDefault="00AC3216" w:rsidP="00353E96">
            <w:pPr>
              <w:rPr>
                <w:rFonts w:cs="Arial"/>
              </w:rPr>
            </w:pPr>
            <w:r w:rsidRPr="00AC3216">
              <w:rPr>
                <w:rFonts w:cs="Arial"/>
              </w:rPr>
              <w:t>Shared Decision making codes </w:t>
            </w:r>
          </w:p>
        </w:tc>
        <w:tc>
          <w:tcPr>
            <w:tcW w:w="799" w:type="pct"/>
            <w:tcBorders>
              <w:top w:val="single" w:sz="4" w:space="0" w:color="auto"/>
              <w:left w:val="single" w:sz="4" w:space="0" w:color="auto"/>
              <w:bottom w:val="single" w:sz="4" w:space="0" w:color="auto"/>
              <w:right w:val="single" w:sz="4" w:space="0" w:color="auto"/>
            </w:tcBorders>
            <w:hideMark/>
          </w:tcPr>
          <w:p w14:paraId="72CE2C48" w14:textId="77777777" w:rsidR="00AC3216" w:rsidRPr="00AC3216" w:rsidRDefault="00AC3216" w:rsidP="00353E96">
            <w:pPr>
              <w:rPr>
                <w:rFonts w:cs="Arial"/>
              </w:rPr>
            </w:pPr>
            <w:r w:rsidRPr="00AC3216">
              <w:rPr>
                <w:rFonts w:cs="Arial"/>
              </w:rPr>
              <w:t>815791000000100 </w:t>
            </w:r>
          </w:p>
        </w:tc>
        <w:tc>
          <w:tcPr>
            <w:tcW w:w="1081" w:type="pct"/>
            <w:tcBorders>
              <w:top w:val="single" w:sz="4" w:space="0" w:color="auto"/>
              <w:left w:val="single" w:sz="4" w:space="0" w:color="auto"/>
              <w:bottom w:val="single" w:sz="4" w:space="0" w:color="auto"/>
              <w:right w:val="single" w:sz="4" w:space="0" w:color="auto"/>
            </w:tcBorders>
            <w:hideMark/>
          </w:tcPr>
          <w:p w14:paraId="6A85C336" w14:textId="77777777" w:rsidR="00AC3216" w:rsidRPr="00AC3216" w:rsidRDefault="00AC3216" w:rsidP="00353E96">
            <w:pPr>
              <w:rPr>
                <w:rFonts w:cs="Arial"/>
              </w:rPr>
            </w:pPr>
            <w:r w:rsidRPr="00AC3216">
              <w:rPr>
                <w:rFonts w:cs="Arial"/>
              </w:rPr>
              <w:t>Shared decision making without decision support (procedure) </w:t>
            </w:r>
          </w:p>
        </w:tc>
        <w:tc>
          <w:tcPr>
            <w:tcW w:w="1023" w:type="pct"/>
            <w:tcBorders>
              <w:top w:val="single" w:sz="4" w:space="0" w:color="auto"/>
              <w:left w:val="single" w:sz="4" w:space="0" w:color="auto"/>
              <w:bottom w:val="single" w:sz="4" w:space="0" w:color="auto"/>
              <w:right w:val="single" w:sz="4" w:space="0" w:color="auto"/>
            </w:tcBorders>
            <w:hideMark/>
          </w:tcPr>
          <w:p w14:paraId="289EDCFD" w14:textId="77777777" w:rsidR="00AC3216" w:rsidRPr="00AC3216" w:rsidRDefault="00AC3216" w:rsidP="00353E96">
            <w:pPr>
              <w:rPr>
                <w:rFonts w:cs="Arial"/>
              </w:rPr>
            </w:pPr>
            <w:r w:rsidRPr="00AC3216">
              <w:rPr>
                <w:rFonts w:cs="Arial"/>
              </w:rPr>
              <w:t>^999022371000230102 </w:t>
            </w:r>
          </w:p>
        </w:tc>
        <w:tc>
          <w:tcPr>
            <w:tcW w:w="320" w:type="pct"/>
            <w:tcBorders>
              <w:top w:val="single" w:sz="4" w:space="0" w:color="auto"/>
              <w:left w:val="single" w:sz="4" w:space="0" w:color="auto"/>
              <w:bottom w:val="single" w:sz="4" w:space="0" w:color="auto"/>
              <w:right w:val="single" w:sz="4" w:space="0" w:color="auto"/>
            </w:tcBorders>
            <w:hideMark/>
          </w:tcPr>
          <w:p w14:paraId="71909EBD" w14:textId="77777777" w:rsidR="00AC3216" w:rsidRPr="00AC3216" w:rsidRDefault="00AC3216" w:rsidP="00353E96">
            <w:pPr>
              <w:rPr>
                <w:rFonts w:cs="Arial"/>
              </w:rPr>
            </w:pPr>
            <w:r w:rsidRPr="00AC3216">
              <w:rPr>
                <w:rFonts w:cs="Arial"/>
              </w:rPr>
              <w:t>1 </w:t>
            </w:r>
          </w:p>
        </w:tc>
      </w:tr>
      <w:tr w:rsidR="00AC3216" w:rsidRPr="00AC3216" w14:paraId="28C84839"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69FF6584" w14:textId="77777777" w:rsidR="00AC3216" w:rsidRPr="00AC3216" w:rsidRDefault="00AC3216" w:rsidP="00353E96">
            <w:pPr>
              <w:rPr>
                <w:rFonts w:cs="Arial"/>
              </w:rPr>
            </w:pPr>
            <w:r w:rsidRPr="00AC3216">
              <w:rPr>
                <w:rFonts w:cs="Arial"/>
              </w:rPr>
              <w:t>SHARDECMAK_COD </w:t>
            </w:r>
          </w:p>
        </w:tc>
        <w:tc>
          <w:tcPr>
            <w:tcW w:w="864" w:type="pct"/>
            <w:tcBorders>
              <w:top w:val="single" w:sz="4" w:space="0" w:color="auto"/>
              <w:left w:val="single" w:sz="4" w:space="0" w:color="auto"/>
              <w:bottom w:val="single" w:sz="4" w:space="0" w:color="auto"/>
              <w:right w:val="single" w:sz="4" w:space="0" w:color="auto"/>
            </w:tcBorders>
            <w:hideMark/>
          </w:tcPr>
          <w:p w14:paraId="05E66C32" w14:textId="77777777" w:rsidR="00AC3216" w:rsidRPr="00AC3216" w:rsidRDefault="00AC3216" w:rsidP="00353E96">
            <w:pPr>
              <w:rPr>
                <w:rFonts w:cs="Arial"/>
              </w:rPr>
            </w:pPr>
            <w:r w:rsidRPr="00AC3216">
              <w:rPr>
                <w:rFonts w:cs="Arial"/>
              </w:rPr>
              <w:t>Shared Decision making codes </w:t>
            </w:r>
          </w:p>
        </w:tc>
        <w:tc>
          <w:tcPr>
            <w:tcW w:w="799" w:type="pct"/>
            <w:tcBorders>
              <w:top w:val="single" w:sz="4" w:space="0" w:color="auto"/>
              <w:left w:val="single" w:sz="4" w:space="0" w:color="auto"/>
              <w:bottom w:val="single" w:sz="4" w:space="0" w:color="auto"/>
              <w:right w:val="single" w:sz="4" w:space="0" w:color="auto"/>
            </w:tcBorders>
            <w:hideMark/>
          </w:tcPr>
          <w:p w14:paraId="73D17B93" w14:textId="77777777" w:rsidR="00AC3216" w:rsidRPr="00AC3216" w:rsidRDefault="00AC3216" w:rsidP="00353E96">
            <w:pPr>
              <w:rPr>
                <w:rFonts w:cs="Arial"/>
              </w:rPr>
            </w:pPr>
            <w:r w:rsidRPr="00AC3216">
              <w:rPr>
                <w:rFonts w:cs="Arial"/>
              </w:rPr>
              <w:t>815711000000109 </w:t>
            </w:r>
          </w:p>
        </w:tc>
        <w:tc>
          <w:tcPr>
            <w:tcW w:w="1081" w:type="pct"/>
            <w:tcBorders>
              <w:top w:val="single" w:sz="4" w:space="0" w:color="auto"/>
              <w:left w:val="single" w:sz="4" w:space="0" w:color="auto"/>
              <w:bottom w:val="single" w:sz="4" w:space="0" w:color="auto"/>
              <w:right w:val="single" w:sz="4" w:space="0" w:color="auto"/>
            </w:tcBorders>
            <w:hideMark/>
          </w:tcPr>
          <w:p w14:paraId="467EA632" w14:textId="77777777" w:rsidR="00AC3216" w:rsidRPr="00AC3216" w:rsidRDefault="00AC3216" w:rsidP="00353E96">
            <w:pPr>
              <w:rPr>
                <w:rFonts w:cs="Arial"/>
              </w:rPr>
            </w:pPr>
            <w:r w:rsidRPr="00AC3216">
              <w:rPr>
                <w:rFonts w:cs="Arial"/>
              </w:rPr>
              <w:t>Shared decision making with patient decision aid (procedure) </w:t>
            </w:r>
          </w:p>
        </w:tc>
        <w:tc>
          <w:tcPr>
            <w:tcW w:w="1023" w:type="pct"/>
            <w:tcBorders>
              <w:top w:val="single" w:sz="4" w:space="0" w:color="auto"/>
              <w:left w:val="single" w:sz="4" w:space="0" w:color="auto"/>
              <w:bottom w:val="single" w:sz="4" w:space="0" w:color="auto"/>
              <w:right w:val="single" w:sz="4" w:space="0" w:color="auto"/>
            </w:tcBorders>
            <w:hideMark/>
          </w:tcPr>
          <w:p w14:paraId="03BAA64F" w14:textId="77777777" w:rsidR="00AC3216" w:rsidRPr="00AC3216" w:rsidRDefault="00AC3216" w:rsidP="00353E96">
            <w:pPr>
              <w:rPr>
                <w:rFonts w:cs="Arial"/>
              </w:rPr>
            </w:pPr>
            <w:r w:rsidRPr="00AC3216">
              <w:rPr>
                <w:rFonts w:cs="Arial"/>
              </w:rPr>
              <w:t>^999022371000230102 </w:t>
            </w:r>
          </w:p>
        </w:tc>
        <w:tc>
          <w:tcPr>
            <w:tcW w:w="320" w:type="pct"/>
            <w:tcBorders>
              <w:top w:val="single" w:sz="4" w:space="0" w:color="auto"/>
              <w:left w:val="single" w:sz="4" w:space="0" w:color="auto"/>
              <w:bottom w:val="single" w:sz="4" w:space="0" w:color="auto"/>
              <w:right w:val="single" w:sz="4" w:space="0" w:color="auto"/>
            </w:tcBorders>
            <w:hideMark/>
          </w:tcPr>
          <w:p w14:paraId="2A8AC585" w14:textId="77777777" w:rsidR="00AC3216" w:rsidRPr="00AC3216" w:rsidRDefault="00AC3216" w:rsidP="00353E96">
            <w:pPr>
              <w:rPr>
                <w:rFonts w:cs="Arial"/>
              </w:rPr>
            </w:pPr>
            <w:r w:rsidRPr="00AC3216">
              <w:rPr>
                <w:rFonts w:cs="Arial"/>
              </w:rPr>
              <w:t>1 </w:t>
            </w:r>
          </w:p>
        </w:tc>
      </w:tr>
      <w:tr w:rsidR="00AC3216" w:rsidRPr="00AC3216" w14:paraId="3E0C2D11"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2687826F" w14:textId="77777777" w:rsidR="00AC3216" w:rsidRPr="00AC3216" w:rsidRDefault="00AC3216" w:rsidP="00353E96">
            <w:pPr>
              <w:rPr>
                <w:rFonts w:cs="Arial"/>
              </w:rPr>
            </w:pPr>
            <w:r w:rsidRPr="00AC3216">
              <w:rPr>
                <w:rFonts w:cs="Arial"/>
              </w:rPr>
              <w:t>SHARDECMAK_COD </w:t>
            </w:r>
          </w:p>
        </w:tc>
        <w:tc>
          <w:tcPr>
            <w:tcW w:w="864" w:type="pct"/>
            <w:tcBorders>
              <w:top w:val="single" w:sz="4" w:space="0" w:color="auto"/>
              <w:left w:val="single" w:sz="4" w:space="0" w:color="auto"/>
              <w:bottom w:val="single" w:sz="4" w:space="0" w:color="auto"/>
              <w:right w:val="single" w:sz="4" w:space="0" w:color="auto"/>
            </w:tcBorders>
            <w:hideMark/>
          </w:tcPr>
          <w:p w14:paraId="37A399FE" w14:textId="77777777" w:rsidR="00AC3216" w:rsidRPr="00AC3216" w:rsidRDefault="00AC3216" w:rsidP="00353E96">
            <w:pPr>
              <w:rPr>
                <w:rFonts w:cs="Arial"/>
              </w:rPr>
            </w:pPr>
            <w:r w:rsidRPr="00AC3216">
              <w:rPr>
                <w:rFonts w:cs="Arial"/>
              </w:rPr>
              <w:t>Shared Decision making codes </w:t>
            </w:r>
          </w:p>
        </w:tc>
        <w:tc>
          <w:tcPr>
            <w:tcW w:w="799" w:type="pct"/>
            <w:tcBorders>
              <w:top w:val="single" w:sz="4" w:space="0" w:color="auto"/>
              <w:left w:val="single" w:sz="4" w:space="0" w:color="auto"/>
              <w:bottom w:val="single" w:sz="4" w:space="0" w:color="auto"/>
              <w:right w:val="single" w:sz="4" w:space="0" w:color="auto"/>
            </w:tcBorders>
            <w:hideMark/>
          </w:tcPr>
          <w:p w14:paraId="1A576B8F" w14:textId="77777777" w:rsidR="00AC3216" w:rsidRPr="00AC3216" w:rsidRDefault="00AC3216" w:rsidP="00353E96">
            <w:pPr>
              <w:rPr>
                <w:rFonts w:cs="Arial"/>
              </w:rPr>
            </w:pPr>
            <w:r w:rsidRPr="00AC3216">
              <w:rPr>
                <w:rFonts w:cs="Arial"/>
              </w:rPr>
              <w:t>815731000000101 </w:t>
            </w:r>
          </w:p>
        </w:tc>
        <w:tc>
          <w:tcPr>
            <w:tcW w:w="1081" w:type="pct"/>
            <w:tcBorders>
              <w:top w:val="single" w:sz="4" w:space="0" w:color="auto"/>
              <w:left w:val="single" w:sz="4" w:space="0" w:color="auto"/>
              <w:bottom w:val="single" w:sz="4" w:space="0" w:color="auto"/>
              <w:right w:val="single" w:sz="4" w:space="0" w:color="auto"/>
            </w:tcBorders>
            <w:hideMark/>
          </w:tcPr>
          <w:p w14:paraId="26C60EF7" w14:textId="77777777" w:rsidR="00AC3216" w:rsidRPr="00AC3216" w:rsidRDefault="00AC3216" w:rsidP="00353E96">
            <w:pPr>
              <w:rPr>
                <w:rFonts w:cs="Arial"/>
              </w:rPr>
            </w:pPr>
            <w:r w:rsidRPr="00AC3216">
              <w:rPr>
                <w:rFonts w:cs="Arial"/>
              </w:rPr>
              <w:t>Shared decision making without patient decision aid (procedure) </w:t>
            </w:r>
          </w:p>
        </w:tc>
        <w:tc>
          <w:tcPr>
            <w:tcW w:w="1023" w:type="pct"/>
            <w:tcBorders>
              <w:top w:val="single" w:sz="4" w:space="0" w:color="auto"/>
              <w:left w:val="single" w:sz="4" w:space="0" w:color="auto"/>
              <w:bottom w:val="single" w:sz="4" w:space="0" w:color="auto"/>
              <w:right w:val="single" w:sz="4" w:space="0" w:color="auto"/>
            </w:tcBorders>
            <w:hideMark/>
          </w:tcPr>
          <w:p w14:paraId="1738CE2F" w14:textId="77777777" w:rsidR="00AC3216" w:rsidRPr="00AC3216" w:rsidRDefault="00AC3216" w:rsidP="00353E96">
            <w:pPr>
              <w:rPr>
                <w:rFonts w:cs="Arial"/>
              </w:rPr>
            </w:pPr>
            <w:r w:rsidRPr="00AC3216">
              <w:rPr>
                <w:rFonts w:cs="Arial"/>
              </w:rPr>
              <w:t>^999022371000230102 </w:t>
            </w:r>
          </w:p>
        </w:tc>
        <w:tc>
          <w:tcPr>
            <w:tcW w:w="320" w:type="pct"/>
            <w:tcBorders>
              <w:top w:val="single" w:sz="4" w:space="0" w:color="auto"/>
              <w:left w:val="single" w:sz="4" w:space="0" w:color="auto"/>
              <w:bottom w:val="single" w:sz="4" w:space="0" w:color="auto"/>
              <w:right w:val="single" w:sz="4" w:space="0" w:color="auto"/>
            </w:tcBorders>
            <w:hideMark/>
          </w:tcPr>
          <w:p w14:paraId="794A9A3E" w14:textId="77777777" w:rsidR="00AC3216" w:rsidRPr="00AC3216" w:rsidRDefault="00AC3216" w:rsidP="00353E96">
            <w:pPr>
              <w:rPr>
                <w:rFonts w:cs="Arial"/>
              </w:rPr>
            </w:pPr>
            <w:r w:rsidRPr="00AC3216">
              <w:rPr>
                <w:rFonts w:cs="Arial"/>
              </w:rPr>
              <w:t>1 </w:t>
            </w:r>
          </w:p>
        </w:tc>
      </w:tr>
      <w:tr w:rsidR="00AC3216" w:rsidRPr="00AC3216" w14:paraId="1D99E0FD"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7429B86B" w14:textId="77777777" w:rsidR="00AC3216" w:rsidRPr="00AC3216" w:rsidRDefault="00AC3216" w:rsidP="00353E96">
            <w:pPr>
              <w:rPr>
                <w:rFonts w:cs="Arial"/>
              </w:rPr>
            </w:pPr>
            <w:r w:rsidRPr="00AC3216">
              <w:rPr>
                <w:rFonts w:cs="Arial"/>
              </w:rPr>
              <w:t>SHARDECMAK_COD </w:t>
            </w:r>
          </w:p>
        </w:tc>
        <w:tc>
          <w:tcPr>
            <w:tcW w:w="864" w:type="pct"/>
            <w:tcBorders>
              <w:top w:val="single" w:sz="4" w:space="0" w:color="auto"/>
              <w:left w:val="single" w:sz="4" w:space="0" w:color="auto"/>
              <w:bottom w:val="single" w:sz="4" w:space="0" w:color="auto"/>
              <w:right w:val="single" w:sz="4" w:space="0" w:color="auto"/>
            </w:tcBorders>
            <w:hideMark/>
          </w:tcPr>
          <w:p w14:paraId="7F94D981" w14:textId="77777777" w:rsidR="00AC3216" w:rsidRPr="00AC3216" w:rsidRDefault="00AC3216" w:rsidP="00353E96">
            <w:pPr>
              <w:rPr>
                <w:rFonts w:cs="Arial"/>
              </w:rPr>
            </w:pPr>
            <w:r w:rsidRPr="00AC3216">
              <w:rPr>
                <w:rFonts w:cs="Arial"/>
              </w:rPr>
              <w:t>Shared Decision making codes </w:t>
            </w:r>
          </w:p>
        </w:tc>
        <w:tc>
          <w:tcPr>
            <w:tcW w:w="799" w:type="pct"/>
            <w:tcBorders>
              <w:top w:val="single" w:sz="4" w:space="0" w:color="auto"/>
              <w:left w:val="single" w:sz="4" w:space="0" w:color="auto"/>
              <w:bottom w:val="single" w:sz="4" w:space="0" w:color="auto"/>
              <w:right w:val="single" w:sz="4" w:space="0" w:color="auto"/>
            </w:tcBorders>
            <w:hideMark/>
          </w:tcPr>
          <w:p w14:paraId="0C6914CA" w14:textId="77777777" w:rsidR="00AC3216" w:rsidRPr="00AC3216" w:rsidRDefault="00AC3216" w:rsidP="00353E96">
            <w:pPr>
              <w:rPr>
                <w:rFonts w:cs="Arial"/>
              </w:rPr>
            </w:pPr>
            <w:r w:rsidRPr="00AC3216">
              <w:rPr>
                <w:rFonts w:cs="Arial"/>
              </w:rPr>
              <w:t>815751000000108 </w:t>
            </w:r>
          </w:p>
        </w:tc>
        <w:tc>
          <w:tcPr>
            <w:tcW w:w="1081" w:type="pct"/>
            <w:tcBorders>
              <w:top w:val="single" w:sz="4" w:space="0" w:color="auto"/>
              <w:left w:val="single" w:sz="4" w:space="0" w:color="auto"/>
              <w:bottom w:val="single" w:sz="4" w:space="0" w:color="auto"/>
              <w:right w:val="single" w:sz="4" w:space="0" w:color="auto"/>
            </w:tcBorders>
            <w:hideMark/>
          </w:tcPr>
          <w:p w14:paraId="364F44A7" w14:textId="77777777" w:rsidR="00AC3216" w:rsidRPr="00AC3216" w:rsidRDefault="00AC3216" w:rsidP="00353E96">
            <w:pPr>
              <w:rPr>
                <w:rFonts w:cs="Arial"/>
              </w:rPr>
            </w:pPr>
            <w:r w:rsidRPr="00AC3216">
              <w:rPr>
                <w:rFonts w:cs="Arial"/>
              </w:rPr>
              <w:t>Shared decision making with decision support (procedure) </w:t>
            </w:r>
          </w:p>
        </w:tc>
        <w:tc>
          <w:tcPr>
            <w:tcW w:w="1023" w:type="pct"/>
            <w:tcBorders>
              <w:top w:val="single" w:sz="4" w:space="0" w:color="auto"/>
              <w:left w:val="single" w:sz="4" w:space="0" w:color="auto"/>
              <w:bottom w:val="single" w:sz="4" w:space="0" w:color="auto"/>
              <w:right w:val="single" w:sz="4" w:space="0" w:color="auto"/>
            </w:tcBorders>
            <w:hideMark/>
          </w:tcPr>
          <w:p w14:paraId="1A098825" w14:textId="77777777" w:rsidR="00AC3216" w:rsidRPr="00AC3216" w:rsidRDefault="00AC3216" w:rsidP="00353E96">
            <w:pPr>
              <w:rPr>
                <w:rFonts w:cs="Arial"/>
              </w:rPr>
            </w:pPr>
            <w:r w:rsidRPr="00AC3216">
              <w:rPr>
                <w:rFonts w:cs="Arial"/>
              </w:rPr>
              <w:t>^999022371000230102 </w:t>
            </w:r>
          </w:p>
        </w:tc>
        <w:tc>
          <w:tcPr>
            <w:tcW w:w="320" w:type="pct"/>
            <w:tcBorders>
              <w:top w:val="single" w:sz="4" w:space="0" w:color="auto"/>
              <w:left w:val="single" w:sz="4" w:space="0" w:color="auto"/>
              <w:bottom w:val="single" w:sz="4" w:space="0" w:color="auto"/>
              <w:right w:val="single" w:sz="4" w:space="0" w:color="auto"/>
            </w:tcBorders>
            <w:hideMark/>
          </w:tcPr>
          <w:p w14:paraId="7AB8C63C" w14:textId="77777777" w:rsidR="00AC3216" w:rsidRPr="00AC3216" w:rsidRDefault="00AC3216" w:rsidP="00353E96">
            <w:pPr>
              <w:rPr>
                <w:rFonts w:cs="Arial"/>
              </w:rPr>
            </w:pPr>
            <w:r w:rsidRPr="00AC3216">
              <w:rPr>
                <w:rFonts w:cs="Arial"/>
              </w:rPr>
              <w:t>1 </w:t>
            </w:r>
          </w:p>
        </w:tc>
      </w:tr>
      <w:tr w:rsidR="00AC3216" w:rsidRPr="00AC3216" w14:paraId="30B08DEA" w14:textId="77777777" w:rsidTr="00416FA1">
        <w:trPr>
          <w:trHeight w:val="285"/>
        </w:trPr>
        <w:tc>
          <w:tcPr>
            <w:tcW w:w="913" w:type="pct"/>
            <w:tcBorders>
              <w:top w:val="single" w:sz="4" w:space="0" w:color="auto"/>
              <w:left w:val="single" w:sz="4" w:space="0" w:color="auto"/>
              <w:bottom w:val="single" w:sz="4" w:space="0" w:color="auto"/>
              <w:right w:val="single" w:sz="4" w:space="0" w:color="auto"/>
            </w:tcBorders>
            <w:hideMark/>
          </w:tcPr>
          <w:p w14:paraId="335900AF" w14:textId="77777777" w:rsidR="00AC3216" w:rsidRPr="00AC3216" w:rsidRDefault="00AC3216" w:rsidP="00353E96">
            <w:pPr>
              <w:rPr>
                <w:rFonts w:cs="Arial"/>
              </w:rPr>
            </w:pPr>
            <w:r w:rsidRPr="00AC3216">
              <w:rPr>
                <w:rFonts w:cs="Arial"/>
              </w:rPr>
              <w:t>WTMGBSPREF_COD </w:t>
            </w:r>
          </w:p>
        </w:tc>
        <w:tc>
          <w:tcPr>
            <w:tcW w:w="864" w:type="pct"/>
            <w:tcBorders>
              <w:top w:val="single" w:sz="4" w:space="0" w:color="auto"/>
              <w:left w:val="single" w:sz="4" w:space="0" w:color="auto"/>
              <w:bottom w:val="single" w:sz="4" w:space="0" w:color="auto"/>
              <w:right w:val="single" w:sz="4" w:space="0" w:color="auto"/>
            </w:tcBorders>
            <w:hideMark/>
          </w:tcPr>
          <w:p w14:paraId="787C0AF1" w14:textId="77777777" w:rsidR="00AC3216" w:rsidRPr="00AC3216" w:rsidRDefault="00AC3216" w:rsidP="00353E96">
            <w:pPr>
              <w:rPr>
                <w:rFonts w:cs="Arial"/>
              </w:rPr>
            </w:pPr>
            <w:r w:rsidRPr="00AC3216">
              <w:rPr>
                <w:rFonts w:cs="Arial"/>
              </w:rPr>
              <w:t>Referral into weight management behavioural support programme codes </w:t>
            </w:r>
          </w:p>
        </w:tc>
        <w:tc>
          <w:tcPr>
            <w:tcW w:w="799" w:type="pct"/>
            <w:tcBorders>
              <w:top w:val="single" w:sz="4" w:space="0" w:color="auto"/>
              <w:left w:val="single" w:sz="4" w:space="0" w:color="auto"/>
              <w:bottom w:val="single" w:sz="4" w:space="0" w:color="auto"/>
              <w:right w:val="single" w:sz="4" w:space="0" w:color="auto"/>
            </w:tcBorders>
            <w:hideMark/>
          </w:tcPr>
          <w:p w14:paraId="49BCC9CB" w14:textId="77777777" w:rsidR="00AC3216" w:rsidRPr="00AC3216" w:rsidRDefault="00AC3216" w:rsidP="00353E96">
            <w:pPr>
              <w:rPr>
                <w:rFonts w:cs="Arial"/>
              </w:rPr>
            </w:pPr>
            <w:r w:rsidRPr="00AC3216">
              <w:rPr>
                <w:rFonts w:cs="Arial"/>
              </w:rPr>
              <w:t>2386201000000107 </w:t>
            </w:r>
          </w:p>
        </w:tc>
        <w:tc>
          <w:tcPr>
            <w:tcW w:w="1081" w:type="pct"/>
            <w:tcBorders>
              <w:top w:val="single" w:sz="4" w:space="0" w:color="auto"/>
              <w:left w:val="single" w:sz="4" w:space="0" w:color="auto"/>
              <w:bottom w:val="single" w:sz="4" w:space="0" w:color="auto"/>
              <w:right w:val="single" w:sz="4" w:space="0" w:color="auto"/>
            </w:tcBorders>
            <w:hideMark/>
          </w:tcPr>
          <w:p w14:paraId="6A964F87" w14:textId="77777777" w:rsidR="00AC3216" w:rsidRPr="00AC3216" w:rsidRDefault="00AC3216" w:rsidP="00353E96">
            <w:pPr>
              <w:rPr>
                <w:rFonts w:cs="Arial"/>
              </w:rPr>
            </w:pPr>
            <w:r w:rsidRPr="00AC3216">
              <w:rPr>
                <w:rFonts w:cs="Arial"/>
              </w:rPr>
              <w:t>Referral to National Health Service obesity medication wraparound support pathway (procedure) </w:t>
            </w:r>
          </w:p>
        </w:tc>
        <w:tc>
          <w:tcPr>
            <w:tcW w:w="1023" w:type="pct"/>
            <w:tcBorders>
              <w:top w:val="single" w:sz="4" w:space="0" w:color="auto"/>
              <w:left w:val="single" w:sz="4" w:space="0" w:color="auto"/>
              <w:bottom w:val="single" w:sz="4" w:space="0" w:color="auto"/>
              <w:right w:val="single" w:sz="4" w:space="0" w:color="auto"/>
            </w:tcBorders>
            <w:hideMark/>
          </w:tcPr>
          <w:p w14:paraId="2375E5A1" w14:textId="77777777" w:rsidR="00AC3216" w:rsidRPr="00AC3216" w:rsidRDefault="00AC3216" w:rsidP="00353E96">
            <w:pPr>
              <w:rPr>
                <w:rFonts w:cs="Arial"/>
              </w:rPr>
            </w:pPr>
            <w:r w:rsidRPr="00AC3216">
              <w:rPr>
                <w:rFonts w:cs="Arial"/>
              </w:rPr>
              <w:t>^999037081000230102 </w:t>
            </w:r>
          </w:p>
        </w:tc>
        <w:tc>
          <w:tcPr>
            <w:tcW w:w="320" w:type="pct"/>
            <w:tcBorders>
              <w:top w:val="single" w:sz="4" w:space="0" w:color="auto"/>
              <w:left w:val="single" w:sz="4" w:space="0" w:color="auto"/>
              <w:bottom w:val="single" w:sz="4" w:space="0" w:color="auto"/>
              <w:right w:val="single" w:sz="4" w:space="0" w:color="auto"/>
            </w:tcBorders>
            <w:hideMark/>
          </w:tcPr>
          <w:p w14:paraId="7CF7276D" w14:textId="77777777" w:rsidR="00AC3216" w:rsidRPr="00AC3216" w:rsidRDefault="00AC3216" w:rsidP="00353E96">
            <w:pPr>
              <w:rPr>
                <w:rFonts w:cs="Arial"/>
              </w:rPr>
            </w:pPr>
            <w:r w:rsidRPr="00AC3216">
              <w:rPr>
                <w:rFonts w:cs="Arial"/>
              </w:rPr>
              <w:t>1 </w:t>
            </w:r>
          </w:p>
        </w:tc>
      </w:tr>
      <w:tr w:rsidR="00AC3216" w:rsidRPr="00AC3216" w14:paraId="4AC6DE01" w14:textId="77777777" w:rsidTr="00416FA1">
        <w:trPr>
          <w:trHeight w:val="360"/>
        </w:trPr>
        <w:tc>
          <w:tcPr>
            <w:tcW w:w="913" w:type="pct"/>
            <w:tcBorders>
              <w:top w:val="single" w:sz="4" w:space="0" w:color="auto"/>
              <w:left w:val="single" w:sz="4" w:space="0" w:color="auto"/>
              <w:bottom w:val="single" w:sz="4" w:space="0" w:color="auto"/>
              <w:right w:val="single" w:sz="4" w:space="0" w:color="auto"/>
            </w:tcBorders>
            <w:hideMark/>
          </w:tcPr>
          <w:p w14:paraId="004113AB" w14:textId="77777777" w:rsidR="00AC3216" w:rsidRPr="00AC3216" w:rsidRDefault="00AC3216" w:rsidP="00353E96">
            <w:pPr>
              <w:rPr>
                <w:rFonts w:cs="Arial"/>
              </w:rPr>
            </w:pPr>
            <w:r w:rsidRPr="00AC3216">
              <w:rPr>
                <w:rFonts w:cs="Arial"/>
              </w:rPr>
              <w:t>WTMGPHARM_COD </w:t>
            </w:r>
          </w:p>
        </w:tc>
        <w:tc>
          <w:tcPr>
            <w:tcW w:w="864" w:type="pct"/>
            <w:tcBorders>
              <w:top w:val="single" w:sz="4" w:space="0" w:color="auto"/>
              <w:left w:val="single" w:sz="4" w:space="0" w:color="auto"/>
              <w:bottom w:val="single" w:sz="4" w:space="0" w:color="auto"/>
              <w:right w:val="single" w:sz="4" w:space="0" w:color="auto"/>
            </w:tcBorders>
            <w:hideMark/>
          </w:tcPr>
          <w:p w14:paraId="5B9C2970" w14:textId="77777777" w:rsidR="00AC3216" w:rsidRPr="00AC3216" w:rsidRDefault="00AC3216" w:rsidP="00353E96">
            <w:pPr>
              <w:rPr>
                <w:rFonts w:cs="Arial"/>
              </w:rPr>
            </w:pPr>
            <w:r w:rsidRPr="00AC3216">
              <w:rPr>
                <w:rFonts w:cs="Arial"/>
              </w:rPr>
              <w:t>Pharmacotherapy for weight management codes </w:t>
            </w:r>
          </w:p>
        </w:tc>
        <w:tc>
          <w:tcPr>
            <w:tcW w:w="799" w:type="pct"/>
            <w:tcBorders>
              <w:top w:val="single" w:sz="4" w:space="0" w:color="auto"/>
              <w:left w:val="single" w:sz="4" w:space="0" w:color="auto"/>
              <w:bottom w:val="single" w:sz="4" w:space="0" w:color="auto"/>
              <w:right w:val="single" w:sz="4" w:space="0" w:color="auto"/>
            </w:tcBorders>
            <w:hideMark/>
          </w:tcPr>
          <w:p w14:paraId="10EE8EE0" w14:textId="77777777" w:rsidR="00AC3216" w:rsidRPr="00AC3216" w:rsidRDefault="00AC3216" w:rsidP="00353E96">
            <w:pPr>
              <w:rPr>
                <w:rFonts w:cs="Arial"/>
              </w:rPr>
            </w:pPr>
            <w:r w:rsidRPr="00AC3216">
              <w:rPr>
                <w:rFonts w:cs="Arial"/>
              </w:rPr>
              <w:t>2386231000000101 </w:t>
            </w:r>
          </w:p>
        </w:tc>
        <w:tc>
          <w:tcPr>
            <w:tcW w:w="1081" w:type="pct"/>
            <w:tcBorders>
              <w:top w:val="single" w:sz="4" w:space="0" w:color="auto"/>
              <w:left w:val="single" w:sz="4" w:space="0" w:color="auto"/>
              <w:bottom w:val="single" w:sz="4" w:space="0" w:color="auto"/>
              <w:right w:val="single" w:sz="4" w:space="0" w:color="auto"/>
            </w:tcBorders>
            <w:hideMark/>
          </w:tcPr>
          <w:p w14:paraId="2AEBD96E" w14:textId="77777777" w:rsidR="00AC3216" w:rsidRPr="00AC3216" w:rsidRDefault="00AC3216" w:rsidP="00353E96">
            <w:pPr>
              <w:rPr>
                <w:rFonts w:cs="Arial"/>
              </w:rPr>
            </w:pPr>
            <w:r w:rsidRPr="00AC3216">
              <w:rPr>
                <w:rFonts w:cs="Arial"/>
              </w:rPr>
              <w:t>National Health Service obesity medication pathway started (situation) </w:t>
            </w:r>
          </w:p>
        </w:tc>
        <w:tc>
          <w:tcPr>
            <w:tcW w:w="1023" w:type="pct"/>
            <w:tcBorders>
              <w:top w:val="single" w:sz="4" w:space="0" w:color="auto"/>
              <w:left w:val="single" w:sz="4" w:space="0" w:color="auto"/>
              <w:bottom w:val="single" w:sz="4" w:space="0" w:color="auto"/>
              <w:right w:val="single" w:sz="4" w:space="0" w:color="auto"/>
            </w:tcBorders>
            <w:hideMark/>
          </w:tcPr>
          <w:p w14:paraId="35011153" w14:textId="77777777" w:rsidR="00AC3216" w:rsidRPr="00AC3216" w:rsidRDefault="00AC3216" w:rsidP="00353E96">
            <w:pPr>
              <w:rPr>
                <w:rFonts w:cs="Arial"/>
              </w:rPr>
            </w:pPr>
            <w:r w:rsidRPr="00AC3216">
              <w:rPr>
                <w:rFonts w:cs="Arial"/>
              </w:rPr>
              <w:t>^999037091000230100 </w:t>
            </w:r>
          </w:p>
        </w:tc>
        <w:tc>
          <w:tcPr>
            <w:tcW w:w="320" w:type="pct"/>
            <w:tcBorders>
              <w:top w:val="single" w:sz="4" w:space="0" w:color="auto"/>
              <w:left w:val="single" w:sz="4" w:space="0" w:color="auto"/>
              <w:bottom w:val="single" w:sz="4" w:space="0" w:color="auto"/>
              <w:right w:val="single" w:sz="4" w:space="0" w:color="auto"/>
            </w:tcBorders>
            <w:hideMark/>
          </w:tcPr>
          <w:p w14:paraId="0502781F" w14:textId="77777777" w:rsidR="00AC3216" w:rsidRPr="00AC3216" w:rsidRDefault="00AC3216" w:rsidP="00353E96">
            <w:pPr>
              <w:rPr>
                <w:rFonts w:cs="Arial"/>
              </w:rPr>
            </w:pPr>
            <w:r w:rsidRPr="00AC3216">
              <w:rPr>
                <w:rFonts w:cs="Arial"/>
              </w:rPr>
              <w:t>1 </w:t>
            </w:r>
          </w:p>
        </w:tc>
      </w:tr>
    </w:tbl>
    <w:p w14:paraId="2D623111" w14:textId="77777777" w:rsidR="00AC3216" w:rsidRPr="00AC3216" w:rsidRDefault="00AC3216">
      <w:pPr>
        <w:rPr>
          <w:rFonts w:cs="Arial"/>
        </w:rPr>
      </w:pPr>
    </w:p>
    <w:sectPr w:rsidR="00AC3216" w:rsidRPr="00AC3216" w:rsidSect="00416FA1">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3B55" w14:textId="77777777" w:rsidR="00D0118D" w:rsidRDefault="00D0118D" w:rsidP="00D13FFC">
      <w:r>
        <w:separator/>
      </w:r>
    </w:p>
  </w:endnote>
  <w:endnote w:type="continuationSeparator" w:id="0">
    <w:p w14:paraId="41C13EC5" w14:textId="77777777" w:rsidR="00D0118D" w:rsidRDefault="00D0118D" w:rsidP="00D13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AEC1" w14:textId="77777777" w:rsidR="00D0118D" w:rsidRDefault="00D0118D" w:rsidP="00D13FFC">
      <w:r>
        <w:separator/>
      </w:r>
    </w:p>
  </w:footnote>
  <w:footnote w:type="continuationSeparator" w:id="0">
    <w:p w14:paraId="2EA5B18E" w14:textId="77777777" w:rsidR="00D0118D" w:rsidRDefault="00D0118D" w:rsidP="00D13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B791" w14:textId="1B1B72E9" w:rsidR="00D13FFC" w:rsidRDefault="00D13FFC">
    <w:pPr>
      <w:pStyle w:val="Header"/>
    </w:pPr>
    <w:r w:rsidRPr="000647BB">
      <w:rPr>
        <w:noProof/>
      </w:rPr>
      <w:drawing>
        <wp:anchor distT="0" distB="0" distL="114300" distR="114300" simplePos="0" relativeHeight="251661312" behindDoc="1" locked="0" layoutInCell="1" allowOverlap="1" wp14:anchorId="0437C0C9" wp14:editId="08EE7B55">
          <wp:simplePos x="0" y="0"/>
          <wp:positionH relativeFrom="page">
            <wp:posOffset>6105525</wp:posOffset>
          </wp:positionH>
          <wp:positionV relativeFrom="topMargin">
            <wp:posOffset>128905</wp:posOffset>
          </wp:positionV>
          <wp:extent cx="1334436" cy="1102020"/>
          <wp:effectExtent l="0" t="0" r="0" b="0"/>
          <wp:wrapTight wrapText="bothSides">
            <wp:wrapPolygon edited="0">
              <wp:start x="3701" y="4855"/>
              <wp:lineTo x="3701" y="15686"/>
              <wp:lineTo x="4626" y="17180"/>
              <wp:lineTo x="7711" y="17927"/>
              <wp:lineTo x="9870" y="17927"/>
              <wp:lineTo x="15730" y="17180"/>
              <wp:lineTo x="17580" y="15686"/>
              <wp:lineTo x="17272" y="4855"/>
              <wp:lineTo x="3701" y="4855"/>
            </wp:wrapPolygon>
          </wp:wrapTight>
          <wp:docPr id="1779962851" name="Picture 1779962851">
            <a:extLst xmlns:a="http://schemas.openxmlformats.org/drawingml/2006/main">
              <a:ext uri="{FF2B5EF4-FFF2-40B4-BE49-F238E27FC236}">
                <a16:creationId xmlns:a16="http://schemas.microsoft.com/office/drawing/2014/main" id="{D6066861-9F5F-4E82-903B-832C3E625A4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34436" cy="1102020"/>
                  </a:xfrm>
                  <a:prstGeom prst="rect">
                    <a:avLst/>
                  </a:prstGeom>
                </pic:spPr>
              </pic:pic>
            </a:graphicData>
          </a:graphic>
          <wp14:sizeRelH relativeFrom="margin">
            <wp14:pctWidth>0</wp14:pctWidth>
          </wp14:sizeRelH>
          <wp14:sizeRelV relativeFrom="margin">
            <wp14:pctHeight>0</wp14:pctHeight>
          </wp14:sizeRelV>
        </wp:anchor>
      </w:drawing>
    </w:r>
  </w:p>
  <w:p w14:paraId="349D4E98" w14:textId="05C2BEB9" w:rsidR="00D13FFC" w:rsidRDefault="00D13FFC" w:rsidP="00D13FFC">
    <w:pPr>
      <w:pStyle w:val="Header"/>
      <w:tabs>
        <w:tab w:val="clear" w:pos="4513"/>
        <w:tab w:val="clear" w:pos="9026"/>
        <w:tab w:val="left" w:pos="820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B569B" w14:textId="17F08B23" w:rsidR="00D13FFC" w:rsidRDefault="00D13FFC">
    <w:pPr>
      <w:pStyle w:val="Header"/>
    </w:pPr>
    <w:r w:rsidRPr="000647BB">
      <w:rPr>
        <w:noProof/>
      </w:rPr>
      <w:drawing>
        <wp:anchor distT="0" distB="0" distL="114300" distR="114300" simplePos="0" relativeHeight="251659264" behindDoc="1" locked="0" layoutInCell="1" allowOverlap="1" wp14:anchorId="41B0B3D1" wp14:editId="4416742C">
          <wp:simplePos x="0" y="0"/>
          <wp:positionH relativeFrom="page">
            <wp:posOffset>6019800</wp:posOffset>
          </wp:positionH>
          <wp:positionV relativeFrom="topMargin">
            <wp:posOffset>182245</wp:posOffset>
          </wp:positionV>
          <wp:extent cx="1334436" cy="1102020"/>
          <wp:effectExtent l="0" t="0" r="0" b="0"/>
          <wp:wrapTight wrapText="bothSides">
            <wp:wrapPolygon edited="0">
              <wp:start x="3701" y="4855"/>
              <wp:lineTo x="3701" y="15686"/>
              <wp:lineTo x="4626" y="17180"/>
              <wp:lineTo x="7711" y="17927"/>
              <wp:lineTo x="9870" y="17927"/>
              <wp:lineTo x="15730" y="17180"/>
              <wp:lineTo x="17580" y="15686"/>
              <wp:lineTo x="17272" y="4855"/>
              <wp:lineTo x="3701" y="4855"/>
            </wp:wrapPolygon>
          </wp:wrapTight>
          <wp:docPr id="5" name="Picture 5">
            <a:extLst xmlns:a="http://schemas.openxmlformats.org/drawingml/2006/main">
              <a:ext uri="{FF2B5EF4-FFF2-40B4-BE49-F238E27FC236}">
                <a16:creationId xmlns:a16="http://schemas.microsoft.com/office/drawing/2014/main" id="{888989E1-5EAB-4F82-B5B0-873B10EEBB15}"/>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34436" cy="1102020"/>
                  </a:xfrm>
                  <a:prstGeom prst="rect">
                    <a:avLst/>
                  </a:prstGeom>
                </pic:spPr>
              </pic:pic>
            </a:graphicData>
          </a:graphic>
          <wp14:sizeRelH relativeFrom="margin">
            <wp14:pctWidth>0</wp14:pctWidth>
          </wp14:sizeRelH>
          <wp14:sizeRelV relativeFrom="margin">
            <wp14:pctHeight>0</wp14:pctHeight>
          </wp14:sizeRelV>
        </wp:anchor>
      </w:drawing>
    </w:r>
  </w:p>
  <w:p w14:paraId="04DE5463" w14:textId="1E66A68D" w:rsidR="00D13FFC" w:rsidRDefault="00D13F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C3900"/>
    <w:multiLevelType w:val="singleLevel"/>
    <w:tmpl w:val="7C30CD18"/>
    <w:lvl w:ilvl="0">
      <w:start w:val="1"/>
      <w:numFmt w:val="bullet"/>
      <w:pStyle w:val="Bullet"/>
      <w:lvlText w:val=""/>
      <w:lvlJc w:val="left"/>
      <w:pPr>
        <w:tabs>
          <w:tab w:val="num" w:pos="360"/>
        </w:tabs>
        <w:ind w:left="360" w:hanging="360"/>
      </w:pPr>
      <w:rPr>
        <w:rFonts w:ascii="Symbol" w:hAnsi="Symbol" w:hint="default"/>
        <w:sz w:val="22"/>
      </w:rPr>
    </w:lvl>
  </w:abstractNum>
  <w:num w:numId="1" w16cid:durableId="2079787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216"/>
    <w:rsid w:val="00000EE6"/>
    <w:rsid w:val="000221CC"/>
    <w:rsid w:val="00032DC2"/>
    <w:rsid w:val="00060919"/>
    <w:rsid w:val="000C57AA"/>
    <w:rsid w:val="000C7596"/>
    <w:rsid w:val="001143B8"/>
    <w:rsid w:val="00122D71"/>
    <w:rsid w:val="001A045E"/>
    <w:rsid w:val="00201BC4"/>
    <w:rsid w:val="002C5F3C"/>
    <w:rsid w:val="0030283D"/>
    <w:rsid w:val="00303003"/>
    <w:rsid w:val="003447B0"/>
    <w:rsid w:val="00353E96"/>
    <w:rsid w:val="00371214"/>
    <w:rsid w:val="003B5328"/>
    <w:rsid w:val="003E1FD8"/>
    <w:rsid w:val="003F0BAC"/>
    <w:rsid w:val="00416FA1"/>
    <w:rsid w:val="00483D54"/>
    <w:rsid w:val="004A04D3"/>
    <w:rsid w:val="004C318A"/>
    <w:rsid w:val="00516459"/>
    <w:rsid w:val="00550C81"/>
    <w:rsid w:val="005549D1"/>
    <w:rsid w:val="005A4A00"/>
    <w:rsid w:val="006060D4"/>
    <w:rsid w:val="00676DCF"/>
    <w:rsid w:val="006B1A57"/>
    <w:rsid w:val="00711D99"/>
    <w:rsid w:val="00714507"/>
    <w:rsid w:val="007566FC"/>
    <w:rsid w:val="007C1671"/>
    <w:rsid w:val="0084651A"/>
    <w:rsid w:val="00876092"/>
    <w:rsid w:val="008D00D3"/>
    <w:rsid w:val="008E3C07"/>
    <w:rsid w:val="00930EEA"/>
    <w:rsid w:val="00940B1C"/>
    <w:rsid w:val="00956390"/>
    <w:rsid w:val="00992EAE"/>
    <w:rsid w:val="009A2C3A"/>
    <w:rsid w:val="009A6B40"/>
    <w:rsid w:val="009E26F3"/>
    <w:rsid w:val="009F19F9"/>
    <w:rsid w:val="00A2025F"/>
    <w:rsid w:val="00A6755F"/>
    <w:rsid w:val="00A85B99"/>
    <w:rsid w:val="00AC2134"/>
    <w:rsid w:val="00AC3216"/>
    <w:rsid w:val="00B101B9"/>
    <w:rsid w:val="00B54BD7"/>
    <w:rsid w:val="00C13320"/>
    <w:rsid w:val="00C17D18"/>
    <w:rsid w:val="00C30BC3"/>
    <w:rsid w:val="00C92D5D"/>
    <w:rsid w:val="00D0118D"/>
    <w:rsid w:val="00D13FFC"/>
    <w:rsid w:val="00D34646"/>
    <w:rsid w:val="00D848B3"/>
    <w:rsid w:val="00DD7425"/>
    <w:rsid w:val="00E94DF6"/>
    <w:rsid w:val="00E9581B"/>
    <w:rsid w:val="00F07E2D"/>
    <w:rsid w:val="00FB1238"/>
    <w:rsid w:val="07606D93"/>
    <w:rsid w:val="5D486C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548CD"/>
  <w15:chartTrackingRefBased/>
  <w15:docId w15:val="{A05A79AC-A541-4CFC-98A3-404BA2AC6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AC3216"/>
    <w:pPr>
      <w:spacing w:after="0" w:line="240" w:lineRule="auto"/>
    </w:pPr>
    <w:rPr>
      <w:rFonts w:ascii="Arial" w:eastAsia="Times New Roman" w:hAnsi="Arial" w:cs="Times New Roman"/>
      <w:kern w:val="0"/>
      <w:szCs w:val="20"/>
      <w:lang w:eastAsia="en-GB"/>
      <w14:ligatures w14:val="none"/>
    </w:rPr>
  </w:style>
  <w:style w:type="paragraph" w:styleId="Heading1">
    <w:name w:val="heading 1"/>
    <w:basedOn w:val="Normal"/>
    <w:next w:val="Normal"/>
    <w:link w:val="Heading1Char"/>
    <w:qFormat/>
    <w:rsid w:val="00AC32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32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AC32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32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32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32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2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2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2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32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32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32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32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32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32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32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32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3216"/>
    <w:rPr>
      <w:rFonts w:eastAsiaTheme="majorEastAsia" w:cstheme="majorBidi"/>
      <w:color w:val="272727" w:themeColor="text1" w:themeTint="D8"/>
    </w:rPr>
  </w:style>
  <w:style w:type="paragraph" w:styleId="Title">
    <w:name w:val="Title"/>
    <w:basedOn w:val="Normal"/>
    <w:next w:val="Normal"/>
    <w:link w:val="TitleChar"/>
    <w:uiPriority w:val="10"/>
    <w:qFormat/>
    <w:rsid w:val="00AC32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32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32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32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216"/>
    <w:pPr>
      <w:spacing w:before="160"/>
      <w:jc w:val="center"/>
    </w:pPr>
    <w:rPr>
      <w:i/>
      <w:iCs/>
      <w:color w:val="404040" w:themeColor="text1" w:themeTint="BF"/>
    </w:rPr>
  </w:style>
  <w:style w:type="character" w:customStyle="1" w:styleId="QuoteChar">
    <w:name w:val="Quote Char"/>
    <w:basedOn w:val="DefaultParagraphFont"/>
    <w:link w:val="Quote"/>
    <w:uiPriority w:val="29"/>
    <w:rsid w:val="00AC3216"/>
    <w:rPr>
      <w:i/>
      <w:iCs/>
      <w:color w:val="404040" w:themeColor="text1" w:themeTint="BF"/>
    </w:rPr>
  </w:style>
  <w:style w:type="paragraph" w:styleId="ListParagraph">
    <w:name w:val="List Paragraph"/>
    <w:basedOn w:val="Normal"/>
    <w:uiPriority w:val="34"/>
    <w:qFormat/>
    <w:rsid w:val="00AC3216"/>
    <w:pPr>
      <w:ind w:left="720"/>
      <w:contextualSpacing/>
    </w:pPr>
  </w:style>
  <w:style w:type="character" w:styleId="IntenseEmphasis">
    <w:name w:val="Intense Emphasis"/>
    <w:basedOn w:val="DefaultParagraphFont"/>
    <w:uiPriority w:val="21"/>
    <w:qFormat/>
    <w:rsid w:val="00AC3216"/>
    <w:rPr>
      <w:i/>
      <w:iCs/>
      <w:color w:val="0F4761" w:themeColor="accent1" w:themeShade="BF"/>
    </w:rPr>
  </w:style>
  <w:style w:type="paragraph" w:styleId="IntenseQuote">
    <w:name w:val="Intense Quote"/>
    <w:basedOn w:val="Normal"/>
    <w:next w:val="Normal"/>
    <w:link w:val="IntenseQuoteChar"/>
    <w:uiPriority w:val="30"/>
    <w:qFormat/>
    <w:rsid w:val="00AC32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3216"/>
    <w:rPr>
      <w:i/>
      <w:iCs/>
      <w:color w:val="0F4761" w:themeColor="accent1" w:themeShade="BF"/>
    </w:rPr>
  </w:style>
  <w:style w:type="character" w:styleId="IntenseReference">
    <w:name w:val="Intense Reference"/>
    <w:basedOn w:val="DefaultParagraphFont"/>
    <w:uiPriority w:val="32"/>
    <w:qFormat/>
    <w:rsid w:val="00AC3216"/>
    <w:rPr>
      <w:b/>
      <w:bCs/>
      <w:smallCaps/>
      <w:color w:val="0F4761" w:themeColor="accent1" w:themeShade="BF"/>
      <w:spacing w:val="5"/>
    </w:rPr>
  </w:style>
  <w:style w:type="character" w:customStyle="1" w:styleId="ParagraphtextChar">
    <w:name w:val="Paragraph text Char"/>
    <w:basedOn w:val="DefaultParagraphFont"/>
    <w:link w:val="Paragraphtext"/>
    <w:rsid w:val="00AC3216"/>
  </w:style>
  <w:style w:type="paragraph" w:customStyle="1" w:styleId="Bullet">
    <w:name w:val="Bullet"/>
    <w:uiPriority w:val="1"/>
    <w:qFormat/>
    <w:rsid w:val="00AC3216"/>
    <w:pPr>
      <w:numPr>
        <w:numId w:val="1"/>
      </w:numPr>
      <w:tabs>
        <w:tab w:val="clear" w:pos="360"/>
      </w:tabs>
      <w:spacing w:after="284" w:line="288" w:lineRule="auto"/>
      <w:ind w:left="425" w:hanging="425"/>
    </w:pPr>
    <w:rPr>
      <w:rFonts w:ascii="Arial" w:eastAsia="Times New Roman" w:hAnsi="Arial" w:cs="Times New Roman"/>
      <w:kern w:val="0"/>
      <w:szCs w:val="20"/>
      <w:lang w:eastAsia="en-GB"/>
      <w14:ligatures w14:val="none"/>
    </w:rPr>
  </w:style>
  <w:style w:type="character" w:styleId="Hyperlink">
    <w:name w:val="Hyperlink"/>
    <w:uiPriority w:val="99"/>
    <w:rsid w:val="00AC3216"/>
    <w:rPr>
      <w:color w:val="0063BE"/>
      <w:u w:val="single"/>
    </w:rPr>
  </w:style>
  <w:style w:type="paragraph" w:customStyle="1" w:styleId="Paragraphtext">
    <w:name w:val="Paragraph text"/>
    <w:link w:val="ParagraphtextChar"/>
    <w:qFormat/>
    <w:rsid w:val="00AC3216"/>
    <w:pPr>
      <w:spacing w:after="284" w:line="288" w:lineRule="auto"/>
    </w:pPr>
  </w:style>
  <w:style w:type="paragraph" w:styleId="Header">
    <w:name w:val="header"/>
    <w:basedOn w:val="Normal"/>
    <w:link w:val="HeaderChar"/>
    <w:uiPriority w:val="99"/>
    <w:unhideWhenUsed/>
    <w:rsid w:val="00D13FFC"/>
    <w:pPr>
      <w:tabs>
        <w:tab w:val="center" w:pos="4513"/>
        <w:tab w:val="right" w:pos="9026"/>
      </w:tabs>
    </w:pPr>
  </w:style>
  <w:style w:type="character" w:customStyle="1" w:styleId="HeaderChar">
    <w:name w:val="Header Char"/>
    <w:basedOn w:val="DefaultParagraphFont"/>
    <w:link w:val="Header"/>
    <w:uiPriority w:val="99"/>
    <w:rsid w:val="00D13FFC"/>
    <w:rPr>
      <w:rFonts w:ascii="Arial" w:eastAsia="Times New Roman" w:hAnsi="Arial" w:cs="Times New Roman"/>
      <w:kern w:val="0"/>
      <w:szCs w:val="20"/>
      <w:lang w:eastAsia="en-GB"/>
      <w14:ligatures w14:val="none"/>
    </w:rPr>
  </w:style>
  <w:style w:type="paragraph" w:styleId="Footer">
    <w:name w:val="footer"/>
    <w:basedOn w:val="Normal"/>
    <w:link w:val="FooterChar"/>
    <w:uiPriority w:val="99"/>
    <w:unhideWhenUsed/>
    <w:rsid w:val="00D13FFC"/>
    <w:pPr>
      <w:tabs>
        <w:tab w:val="center" w:pos="4513"/>
        <w:tab w:val="right" w:pos="9026"/>
      </w:tabs>
    </w:pPr>
  </w:style>
  <w:style w:type="character" w:customStyle="1" w:styleId="FooterChar">
    <w:name w:val="Footer Char"/>
    <w:basedOn w:val="DefaultParagraphFont"/>
    <w:link w:val="Footer"/>
    <w:uiPriority w:val="99"/>
    <w:rsid w:val="00D13FFC"/>
    <w:rPr>
      <w:rFonts w:ascii="Arial" w:eastAsia="Times New Roman" w:hAnsi="Arial" w:cs="Times New Roman"/>
      <w:kern w:val="0"/>
      <w:szCs w:val="20"/>
      <w:lang w:eastAsia="en-GB"/>
      <w14:ligatures w14:val="none"/>
    </w:rPr>
  </w:style>
  <w:style w:type="paragraph" w:styleId="Revision">
    <w:name w:val="Revision"/>
    <w:hidden/>
    <w:uiPriority w:val="99"/>
    <w:semiHidden/>
    <w:rsid w:val="00DD7425"/>
    <w:pPr>
      <w:spacing w:after="0" w:line="240" w:lineRule="auto"/>
    </w:pPr>
    <w:rPr>
      <w:rFonts w:ascii="Arial" w:eastAsia="Times New Roman" w:hAnsi="Arial" w:cs="Times New Roman"/>
      <w:kern w:val="0"/>
      <w:szCs w:val="20"/>
      <w:lang w:eastAsia="en-GB"/>
      <w14:ligatures w14:val="none"/>
    </w:rPr>
  </w:style>
  <w:style w:type="character" w:styleId="CommentReference">
    <w:name w:val="annotation reference"/>
    <w:basedOn w:val="DefaultParagraphFont"/>
    <w:uiPriority w:val="99"/>
    <w:semiHidden/>
    <w:unhideWhenUsed/>
    <w:rsid w:val="000C57AA"/>
    <w:rPr>
      <w:sz w:val="16"/>
      <w:szCs w:val="16"/>
    </w:rPr>
  </w:style>
  <w:style w:type="paragraph" w:styleId="CommentText">
    <w:name w:val="annotation text"/>
    <w:basedOn w:val="Normal"/>
    <w:link w:val="CommentTextChar"/>
    <w:uiPriority w:val="99"/>
    <w:unhideWhenUsed/>
    <w:rsid w:val="000C57AA"/>
    <w:rPr>
      <w:sz w:val="20"/>
    </w:rPr>
  </w:style>
  <w:style w:type="character" w:customStyle="1" w:styleId="CommentTextChar">
    <w:name w:val="Comment Text Char"/>
    <w:basedOn w:val="DefaultParagraphFont"/>
    <w:link w:val="CommentText"/>
    <w:uiPriority w:val="99"/>
    <w:rsid w:val="000C57AA"/>
    <w:rPr>
      <w:rFonts w:ascii="Arial" w:eastAsia="Times New Roman" w:hAnsi="Arial"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C57AA"/>
    <w:rPr>
      <w:b/>
      <w:bCs/>
    </w:rPr>
  </w:style>
  <w:style w:type="character" w:customStyle="1" w:styleId="CommentSubjectChar">
    <w:name w:val="Comment Subject Char"/>
    <w:basedOn w:val="CommentTextChar"/>
    <w:link w:val="CommentSubject"/>
    <w:uiPriority w:val="99"/>
    <w:semiHidden/>
    <w:rsid w:val="000C57AA"/>
    <w:rPr>
      <w:rFonts w:ascii="Arial" w:eastAsia="Times New Roman" w:hAnsi="Arial" w:cs="Times New Roman"/>
      <w:b/>
      <w:bCs/>
      <w:kern w:val="0"/>
      <w:sz w:val="20"/>
      <w:szCs w:val="20"/>
      <w:lang w:eastAsia="en-GB"/>
      <w14:ligatures w14:val="none"/>
    </w:rPr>
  </w:style>
  <w:style w:type="character" w:styleId="FollowedHyperlink">
    <w:name w:val="FollowedHyperlink"/>
    <w:basedOn w:val="DefaultParagraphFont"/>
    <w:uiPriority w:val="99"/>
    <w:semiHidden/>
    <w:unhideWhenUsed/>
    <w:rsid w:val="00483D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ice.org.uk/guidance/ng246" TargetMode="External"/><Relationship Id="rId18" Type="http://schemas.openxmlformats.org/officeDocument/2006/relationships/hyperlink" Target="mailto:england.healthier-you@nhs.net"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digital.nhs.uk/data-and-information/data-collections-and-data-sets/data-collections/quality-and-outcomes-framework-qof/business-rules/quality-and-outcomes-framework-qof-business-rules-v51-2026" TargetMode="External"/><Relationship Id="rId17" Type="http://schemas.openxmlformats.org/officeDocument/2006/relationships/hyperlink" Target="https://www.england.nhs.uk/ourwork/prevention/obesity/medicines-for-obesity/healthier-you-nhs-behavioural-support-for-obesity-prescribing-programme-provider-contact-details/" TargetMode="External"/><Relationship Id="rId2" Type="http://schemas.openxmlformats.org/officeDocument/2006/relationships/customXml" Target="../customXml/item2.xml"/><Relationship Id="rId16" Type="http://schemas.openxmlformats.org/officeDocument/2006/relationships/hyperlink" Target="https://www.england.nhs.uk/long-read/interim-commissioning-guidance-nice-ta1026-tirzepatid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gland.nhs.uk/publication/quality-and-outcomes-framework-guidance-for-2026-27/" TargetMode="External"/><Relationship Id="rId5" Type="http://schemas.openxmlformats.org/officeDocument/2006/relationships/numbering" Target="numbering.xml"/><Relationship Id="rId15" Type="http://schemas.openxmlformats.org/officeDocument/2006/relationships/hyperlink" Target="https://www.nice.org.uk/guidance/ta1026/chapter/4-Implementation"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gbr01.safelinks.protection.outlook.com/?url=https%3A%2F%2Fdigital.nhs.uk%2Fdata-and-information%2Fdata-collections-and-data-sets%2Fdata-collections%2Fquality-and-outcomes-framework-qof%2Fquality-and-outcome-framework-qof-business-rules%2Fprimary-care-domain-reference-set-portal&amp;data=05%7C02%7Ckatharine.taylor2%40nhs.net%7C8d6cfdeb4e1d4456a1db08dee34882df%7C37c354b285b047f5b22207b48d774ee3%7C0%7C0%7C639198098012699189%7CUnknown%7CTWFpbGZsb3d8eyJFbXB0eU1hcGkiOnRydWUsIlYiOiIwLjAuMDAwMCIsIlAiOiJXaW4zMiIsIkFOIjoiTWFpbCIsIldUIjoyfQ%3D%3D%7C0%7C%7C%7C&amp;sdata=QUJbgE3JUXQ8OQXBRBGIeyVxZ2Oi%2B3igcoOdr8%2B94mY%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ice.org.uk/guidance/ta1026/chapter/1-Recommendation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DF5A34B764DD40BB753F346A849AA6" ma:contentTypeVersion="37" ma:contentTypeDescription="Create a new document." ma:contentTypeScope="" ma:versionID="00b6ee55849a0e4fba49c1beb9f9a962">
  <xsd:schema xmlns:xsd="http://www.w3.org/2001/XMLSchema" xmlns:xs="http://www.w3.org/2001/XMLSchema" xmlns:p="http://schemas.microsoft.com/office/2006/metadata/properties" xmlns:ns2="9c5f6d3a-367b-4e54-be1c-966a57e668ef" xmlns:ns3="465529d7-77ac-4721-abf6-c10da60b5256" xmlns:ns4="c2713d54-c202-4f31-9be0-466d9327ca6d" targetNamespace="http://schemas.microsoft.com/office/2006/metadata/properties" ma:root="true" ma:fieldsID="d871e0fad7af8834f1aeb3db2ca8ff00" ns2:_="" ns3:_="" ns4:_="">
    <xsd:import namespace="9c5f6d3a-367b-4e54-be1c-966a57e668ef"/>
    <xsd:import namespace="465529d7-77ac-4721-abf6-c10da60b5256"/>
    <xsd:import namespace="c2713d54-c202-4f31-9be0-466d9327ca6d"/>
    <xsd:element name="properties">
      <xsd:complexType>
        <xsd:sequence>
          <xsd:element name="documentManagement">
            <xsd:complexType>
              <xsd:all>
                <xsd:element ref="ns2:TaxCatchAll" minOccurs="0"/>
                <xsd:element ref="ns2:TaxCatchAllLabel" minOccurs="0"/>
                <xsd:element ref="ns2:hffa5d87aadf4c31aa0063c3f0e5acd3" minOccurs="0"/>
                <xsd:element ref="ns2:b754ec21fba447c3a1e317db33626589" minOccurs="0"/>
                <xsd:element ref="ns2:c4ab765cffe44f47ab1f253247b844a5" minOccurs="0"/>
                <xsd:element ref="ns2:db00b73004054eeaa80857446ef59efd" minOccurs="0"/>
                <xsd:element ref="ns2:jf3218f1a0664e0c820f22f96829cf40" minOccurs="0"/>
                <xsd:element ref="ns2:pdbbb89bf0ee44a5aaa10437f6c5deab" minOccurs="0"/>
                <xsd:element ref="ns2:eb5d343098044fd7acf738504777dd6a" minOccurs="0"/>
                <xsd:element ref="ns3:SharedWithDetails" minOccurs="0"/>
                <xsd:element ref="ns4:MediaServiceObjectDetectorVersions" minOccurs="0"/>
                <xsd:element ref="ns4:MediaServiceMetadata" minOccurs="0"/>
                <xsd:element ref="ns3:SharedWithUsers" minOccurs="0"/>
                <xsd:element ref="ns4:MediaServiceFastMetadata"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f6d3a-367b-4e54-be1c-966a57e668e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4e2cf05-f585-4925-b80d-3410d78ae423}" ma:internalName="TaxCatchAll" ma:showField="CatchAllData" ma:web="465529d7-77ac-4721-abf6-c10da60b525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4e2cf05-f585-4925-b80d-3410d78ae423}" ma:internalName="TaxCatchAllLabel" ma:readOnly="true" ma:showField="CatchAllDataLabel" ma:web="465529d7-77ac-4721-abf6-c10da60b5256">
      <xsd:complexType>
        <xsd:complexContent>
          <xsd:extension base="dms:MultiChoiceLookup">
            <xsd:sequence>
              <xsd:element name="Value" type="dms:Lookup" maxOccurs="unbounded" minOccurs="0" nillable="true"/>
            </xsd:sequence>
          </xsd:extension>
        </xsd:complexContent>
      </xsd:complexType>
    </xsd:element>
    <xsd:element name="hffa5d87aadf4c31aa0063c3f0e5acd3" ma:index="12" ma:taxonomy="true" ma:internalName="hffa5d87aadf4c31aa0063c3f0e5acd3" ma:taxonomyFieldName="Directorates" ma:displayName="Directorates" ma:readOnly="false" ma:default="" ma:fieldId="{1ffa5d87-aadf-4c31-aa00-63c3f0e5acd3}" ma:taxonomyMulti="true" ma:sspId="29ea9871-c5bf-4c91-b248-15502a979f66" ma:termSetId="c23d736f-2a97-4731-a518-d51900ad91e8" ma:anchorId="00000000-0000-0000-0000-000000000000" ma:open="false" ma:isKeyword="false">
      <xsd:complexType>
        <xsd:sequence>
          <xsd:element ref="pc:Terms" minOccurs="0" maxOccurs="1"/>
        </xsd:sequence>
      </xsd:complexType>
    </xsd:element>
    <xsd:element name="b754ec21fba447c3a1e317db33626589" ma:index="14" ma:taxonomy="true" ma:internalName="b754ec21fba447c3a1e317db33626589" ma:taxonomyFieldName="Geography" ma:displayName="Geography" ma:readOnly="false" ma:default="" ma:fieldId="{b754ec21-fba4-47c3-a1e3-17db33626589}" ma:taxonomyMulti="true" ma:sspId="29ea9871-c5bf-4c91-b248-15502a979f66" ma:termSetId="b3bbfb3b-d1ee-4534-8464-bb8173075985" ma:anchorId="00000000-0000-0000-0000-000000000000" ma:open="false" ma:isKeyword="false">
      <xsd:complexType>
        <xsd:sequence>
          <xsd:element ref="pc:Terms" minOccurs="0" maxOccurs="1"/>
        </xsd:sequence>
      </xsd:complexType>
    </xsd:element>
    <xsd:element name="c4ab765cffe44f47ab1f253247b844a5" ma:index="16" ma:taxonomy="true" ma:internalName="c4ab765cffe44f47ab1f253247b844a5" ma:taxonomyFieldName="Area_x0020_of_x0020_Work" ma:displayName="Area of Work" ma:readOnly="false" ma:default="" ma:fieldId="{c4ab765c-ffe4-4f47-ab1f-253247b844a5}" ma:taxonomyMulti="true" ma:sspId="29ea9871-c5bf-4c91-b248-15502a979f66" ma:termSetId="cb03cb54-00ba-495f-bcc5-a10401b2af6f" ma:anchorId="00000000-0000-0000-0000-000000000000" ma:open="false" ma:isKeyword="false">
      <xsd:complexType>
        <xsd:sequence>
          <xsd:element ref="pc:Terms" minOccurs="0" maxOccurs="1"/>
        </xsd:sequence>
      </xsd:complexType>
    </xsd:element>
    <xsd:element name="db00b73004054eeaa80857446ef59efd" ma:index="18" nillable="true" ma:taxonomy="true" ma:internalName="db00b73004054eeaa80857446ef59efd" ma:taxonomyFieldName="Retention_x0020_Period" ma:displayName="Retention Period" ma:default="" ma:fieldId="{db00b730-0405-4eea-a808-57446ef59efd}" ma:taxonomyMulti="true" ma:sspId="29ea9871-c5bf-4c91-b248-15502a979f66" ma:termSetId="602a9556-7dc1-4254-a95e-f1d589d02502" ma:anchorId="00000000-0000-0000-0000-000000000000" ma:open="false" ma:isKeyword="false">
      <xsd:complexType>
        <xsd:sequence>
          <xsd:element ref="pc:Terms" minOccurs="0" maxOccurs="1"/>
        </xsd:sequence>
      </xsd:complexType>
    </xsd:element>
    <xsd:element name="jf3218f1a0664e0c820f22f96829cf40" ma:index="20" nillable="true" ma:taxonomy="true" ma:internalName="jf3218f1a0664e0c820f22f96829cf40" ma:taxonomyFieldName="Status_" ma:displayName="Document Status" ma:default="1;#Draft|38d871d5-e771-4bbc-936a-04c35eb5e390" ma:fieldId="{3f3218f1-a066-4e0c-820f-22f96829cf40}" ma:taxonomyMulti="true" ma:sspId="29ea9871-c5bf-4c91-b248-15502a979f66" ma:termSetId="269cec41-7116-4809-8212-57b3e7cf1b29" ma:anchorId="00000000-0000-0000-0000-000000000000" ma:open="false" ma:isKeyword="false">
      <xsd:complexType>
        <xsd:sequence>
          <xsd:element ref="pc:Terms" minOccurs="0" maxOccurs="1"/>
        </xsd:sequence>
      </xsd:complexType>
    </xsd:element>
    <xsd:element name="pdbbb89bf0ee44a5aaa10437f6c5deab" ma:index="22" nillable="true" ma:taxonomy="true" ma:internalName="pdbbb89bf0ee44a5aaa10437f6c5deab" ma:taxonomyFieldName="Borough" ma:displayName="Borough" ma:default="" ma:fieldId="{9dbbb89b-f0ee-44a5-aaa1-0437f6c5deab}" ma:taxonomyMulti="true" ma:sspId="29ea9871-c5bf-4c91-b248-15502a979f66" ma:termSetId="8aa62564-ee21-4eba-a8c9-a6e4607b4308" ma:anchorId="00000000-0000-0000-0000-000000000000" ma:open="false" ma:isKeyword="false">
      <xsd:complexType>
        <xsd:sequence>
          <xsd:element ref="pc:Terms" minOccurs="0" maxOccurs="1"/>
        </xsd:sequence>
      </xsd:complexType>
    </xsd:element>
    <xsd:element name="eb5d343098044fd7acf738504777dd6a" ma:index="23" ma:taxonomy="true" ma:internalName="eb5d343098044fd7acf738504777dd6a" ma:taxonomyFieldName="Document_x0020_Type" ma:displayName="Document Type" ma:readOnly="false" ma:default="" ma:fieldId="{eb5d3430-9804-4fd7-acf7-38504777dd6a}" ma:taxonomyMulti="true" ma:sspId="29ea9871-c5bf-4c91-b248-15502a979f66" ma:termSetId="31369645-a51e-47c2-b93a-08c64639556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5529d7-77ac-4721-abf6-c10da60b5256" elementFormDefault="qualified">
    <xsd:import namespace="http://schemas.microsoft.com/office/2006/documentManagement/types"/>
    <xsd:import namespace="http://schemas.microsoft.com/office/infopath/2007/PartnerControls"/>
    <xsd:element name="SharedWithDetails" ma:index="24" nillable="true" ma:displayName="Shared With Details" ma:internalName="SharedWithDetails" ma:readOnly="true">
      <xsd:simpleType>
        <xsd:restriction base="dms:Note">
          <xsd:maxLength value="255"/>
        </xsd:restrictio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713d54-c202-4f31-9be0-466d9327ca6d" elementFormDefault="qualified">
    <xsd:import namespace="http://schemas.microsoft.com/office/2006/documentManagement/types"/>
    <xsd:import namespace="http://schemas.microsoft.com/office/infopath/2007/PartnerControls"/>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b5d343098044fd7acf738504777dd6a xmlns="9c5f6d3a-367b-4e54-be1c-966a57e668ef">
      <Terms xmlns="http://schemas.microsoft.com/office/infopath/2007/PartnerControls">
        <TermInfo xmlns="http://schemas.microsoft.com/office/infopath/2007/PartnerControls">
          <TermName xmlns="http://schemas.microsoft.com/office/infopath/2007/PartnerControls">Position Statements</TermName>
          <TermId xmlns="http://schemas.microsoft.com/office/infopath/2007/PartnerControls">212687f0-b329-43b3-bd45-2f7251cc5dff</TermId>
        </TermInfo>
      </Terms>
    </eb5d343098044fd7acf738504777dd6a>
    <jf3218f1a0664e0c820f22f96829cf40 xmlns="9c5f6d3a-367b-4e54-be1c-966a57e668ef">
      <Terms xmlns="http://schemas.microsoft.com/office/infopath/2007/PartnerControls">
        <TermInfo xmlns="http://schemas.microsoft.com/office/infopath/2007/PartnerControls">
          <TermName xmlns="http://schemas.microsoft.com/office/infopath/2007/PartnerControls">Published</TermName>
          <TermId xmlns="http://schemas.microsoft.com/office/infopath/2007/PartnerControls">681abb21-7b28-4d45-84e1-8ea6fdafd6dd</TermId>
        </TermInfo>
      </Terms>
    </jf3218f1a0664e0c820f22f96829cf40>
    <TaxCatchAll xmlns="9c5f6d3a-367b-4e54-be1c-966a57e668ef">
      <Value>24</Value>
      <Value>7</Value>
      <Value>23</Value>
      <Value>22</Value>
      <Value>3</Value>
      <Value>18</Value>
    </TaxCatchAll>
    <db00b73004054eeaa80857446ef59efd xmlns="9c5f6d3a-367b-4e54-be1c-966a57e668ef">
      <Terms xmlns="http://schemas.microsoft.com/office/infopath/2007/PartnerControls">
        <TermInfo xmlns="http://schemas.microsoft.com/office/infopath/2007/PartnerControls">
          <TermName xmlns="http://schemas.microsoft.com/office/infopath/2007/PartnerControls">10 Years</TermName>
          <TermId xmlns="http://schemas.microsoft.com/office/infopath/2007/PartnerControls">be49f672-f6a0-4e50-a39e-ce82ae3887c2</TermId>
        </TermInfo>
      </Terms>
    </db00b73004054eeaa80857446ef59efd>
    <c4ab765cffe44f47ab1f253247b844a5 xmlns="9c5f6d3a-367b-4e54-be1c-966a57e668ef">
      <Terms xmlns="http://schemas.microsoft.com/office/infopath/2007/PartnerControls">
        <TermInfo xmlns="http://schemas.microsoft.com/office/infopath/2007/PartnerControls">
          <TermName xmlns="http://schemas.microsoft.com/office/infopath/2007/PartnerControls">Other</TermName>
          <TermId xmlns="http://schemas.microsoft.com/office/infopath/2007/PartnerControls">9031453b-31a2-47ab-befb-59f8408a05d2</TermId>
        </TermInfo>
      </Terms>
    </c4ab765cffe44f47ab1f253247b844a5>
    <b754ec21fba447c3a1e317db33626589 xmlns="9c5f6d3a-367b-4e54-be1c-966a57e668ef">
      <Terms xmlns="http://schemas.microsoft.com/office/infopath/2007/PartnerControls">
        <TermInfo xmlns="http://schemas.microsoft.com/office/infopath/2007/PartnerControls">
          <TermName xmlns="http://schemas.microsoft.com/office/infopath/2007/PartnerControls">National</TermName>
          <TermId xmlns="http://schemas.microsoft.com/office/infopath/2007/PartnerControls">5338aaa2-c03e-470f-93b7-46464e0bdaea</TermId>
        </TermInfo>
      </Terms>
    </b754ec21fba447c3a1e317db33626589>
    <hffa5d87aadf4c31aa0063c3f0e5acd3 xmlns="9c5f6d3a-367b-4e54-be1c-966a57e668ef">
      <Terms xmlns="http://schemas.microsoft.com/office/infopath/2007/PartnerControls">
        <TermInfo xmlns="http://schemas.microsoft.com/office/infopath/2007/PartnerControls">
          <TermName xmlns="http://schemas.microsoft.com/office/infopath/2007/PartnerControls">MDs</TermName>
          <TermId xmlns="http://schemas.microsoft.com/office/infopath/2007/PartnerControls">9da6b14b-dc1c-44ba-8844-51ba1406511e</TermId>
        </TermInfo>
      </Terms>
    </hffa5d87aadf4c31aa0063c3f0e5acd3>
    <pdbbb89bf0ee44a5aaa10437f6c5deab xmlns="9c5f6d3a-367b-4e54-be1c-966a57e668ef">
      <Terms xmlns="http://schemas.microsoft.com/office/infopath/2007/PartnerControls"/>
    </pdbbb89bf0ee44a5aaa10437f6c5deab>
  </documentManagement>
</p:properties>
</file>

<file path=customXml/item3.xml><?xml version="1.0" encoding="utf-8"?>
<?mso-contentType ?>
<SharedContentType xmlns="Microsoft.SharePoint.Taxonomy.ContentTypeSync" SourceId="29ea9871-c5bf-4c91-b248-15502a979f66"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F0BB6-01E0-4A77-A18C-5484072B4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f6d3a-367b-4e54-be1c-966a57e668ef"/>
    <ds:schemaRef ds:uri="465529d7-77ac-4721-abf6-c10da60b5256"/>
    <ds:schemaRef ds:uri="c2713d54-c202-4f31-9be0-466d9327ca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40BFB2-D27D-4FAF-8F24-994A8277CE80}">
  <ds:schemaRefs>
    <ds:schemaRef ds:uri="http://schemas.microsoft.com/office/2006/metadata/properties"/>
    <ds:schemaRef ds:uri="http://schemas.microsoft.com/office/infopath/2007/PartnerControls"/>
    <ds:schemaRef ds:uri="9c5f6d3a-367b-4e54-be1c-966a57e668ef"/>
  </ds:schemaRefs>
</ds:datastoreItem>
</file>

<file path=customXml/itemProps3.xml><?xml version="1.0" encoding="utf-8"?>
<ds:datastoreItem xmlns:ds="http://schemas.openxmlformats.org/officeDocument/2006/customXml" ds:itemID="{410DD70D-BE2A-43F4-B762-6E95C75D6804}">
  <ds:schemaRefs>
    <ds:schemaRef ds:uri="Microsoft.SharePoint.Taxonomy.ContentTypeSync"/>
  </ds:schemaRefs>
</ds:datastoreItem>
</file>

<file path=customXml/itemProps4.xml><?xml version="1.0" encoding="utf-8"?>
<ds:datastoreItem xmlns:ds="http://schemas.openxmlformats.org/officeDocument/2006/customXml" ds:itemID="{303C2904-A181-43B6-A794-8C2930FC10E8}">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1801</Words>
  <Characters>10268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Katharine (NHS ENGLAND)</dc:creator>
  <cp:keywords/>
  <dc:description/>
  <cp:lastModifiedBy>tim horsburgh</cp:lastModifiedBy>
  <cp:revision>2</cp:revision>
  <dcterms:created xsi:type="dcterms:W3CDTF">2026-09-07T09:07:00Z</dcterms:created>
  <dcterms:modified xsi:type="dcterms:W3CDTF">2026-09-07T09:07:00Z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0x01010085DF5A34B764DD40BB753F346A849AA6</vt:lpwstr>
  </property>
  <property fmtid="{D5CDD505-2E9C-101B-9397-08002B2CF9AE}" pid="3" name="Retention_x0020_Period">
    <vt:lpwstr>24;#10 Years|be49f672-f6a0-4e50-a39e-ce82ae3887c2</vt:lpwstr>
  </property>
  <property fmtid="{D5CDD505-2E9C-101B-9397-08002B2CF9AE}" pid="4" name="Document_x0020_Type">
    <vt:lpwstr>18;#Position Statements|212687f0-b329-43b3-bd45-2f7251cc5dff</vt:lpwstr>
  </property>
  <property fmtid="{D5CDD505-2E9C-101B-9397-08002B2CF9AE}" pid="5" name="Area_x0020_of_x0020_Work">
    <vt:lpwstr>23;#Other|9031453b-31a2-47ab-befb-59f8408a05d2</vt:lpwstr>
  </property>
  <property fmtid="{D5CDD505-2E9C-101B-9397-08002B2CF9AE}" pid="6" name="Geography">
    <vt:lpwstr>22;#National|5338aaa2-c03e-470f-93b7-46464e0bdaea</vt:lpwstr>
  </property>
  <property fmtid="{D5CDD505-2E9C-101B-9397-08002B2CF9AE}" pid="7" name="Borough">
    <vt:lpwstr/>
  </property>
  <property fmtid="{D5CDD505-2E9C-101B-9397-08002B2CF9AE}" pid="8" name="Area of Work">
    <vt:lpwstr>23;#Other|9031453b-31a2-47ab-befb-59f8408a05d2</vt:lpwstr>
  </property>
  <property fmtid="{D5CDD505-2E9C-101B-9397-08002B2CF9AE}" pid="9" name="Retention Period">
    <vt:lpwstr>24;#10 Years|be49f672-f6a0-4e50-a39e-ce82ae3887c2</vt:lpwstr>
  </property>
  <property fmtid="{D5CDD505-2E9C-101B-9397-08002B2CF9AE}" pid="10" name="Directorates">
    <vt:lpwstr>3;#MDs|9da6b14b-dc1c-44ba-8844-51ba1406511e</vt:lpwstr>
  </property>
  <property fmtid="{D5CDD505-2E9C-101B-9397-08002B2CF9AE}" pid="11" name="Status_">
    <vt:lpwstr>7;#Published|681abb21-7b28-4d45-84e1-8ea6fdafd6dd</vt:lpwstr>
  </property>
  <property fmtid="{D5CDD505-2E9C-101B-9397-08002B2CF9AE}" pid="12" name="Document Type">
    <vt:lpwstr>18;#Position Statements|212687f0-b329-43b3-bd45-2f7251cc5dff</vt:lpwstr>
  </property>
</Properties>
</file>