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3014" w14:textId="3ED2316B" w:rsidR="009E136C" w:rsidRPr="00EB6D81" w:rsidRDefault="00EB6D81" w:rsidP="009E136C">
      <w:pPr>
        <w:pStyle w:val="Title"/>
        <w:rPr>
          <w:rFonts w:ascii="Arial" w:hAnsi="Arial" w:cs="Arial"/>
          <w:sz w:val="50"/>
          <w:szCs w:val="50"/>
        </w:rPr>
      </w:pPr>
      <w:r>
        <w:rPr>
          <w:rFonts w:ascii="Arial" w:hAnsi="Arial" w:cs="Arial"/>
          <w:caps w:val="0"/>
          <w:sz w:val="50"/>
          <w:szCs w:val="50"/>
        </w:rPr>
        <w:t>O</w:t>
      </w:r>
      <w:r w:rsidRPr="00EB6D81">
        <w:rPr>
          <w:rFonts w:ascii="Arial" w:hAnsi="Arial" w:cs="Arial"/>
          <w:caps w:val="0"/>
          <w:sz w:val="50"/>
          <w:szCs w:val="50"/>
        </w:rPr>
        <w:t xml:space="preserve">ne </w:t>
      </w:r>
      <w:r>
        <w:rPr>
          <w:rFonts w:ascii="Arial" w:hAnsi="Arial" w:cs="Arial"/>
          <w:caps w:val="0"/>
          <w:sz w:val="50"/>
          <w:szCs w:val="50"/>
        </w:rPr>
        <w:t>H</w:t>
      </w:r>
      <w:r w:rsidRPr="00EB6D81">
        <w:rPr>
          <w:rFonts w:ascii="Arial" w:hAnsi="Arial" w:cs="Arial"/>
          <w:caps w:val="0"/>
          <w:sz w:val="50"/>
          <w:szCs w:val="50"/>
        </w:rPr>
        <w:t xml:space="preserve">ealth and </w:t>
      </w:r>
      <w:r>
        <w:rPr>
          <w:rFonts w:ascii="Arial" w:hAnsi="Arial" w:cs="Arial"/>
          <w:caps w:val="0"/>
          <w:sz w:val="50"/>
          <w:szCs w:val="50"/>
        </w:rPr>
        <w:t>C</w:t>
      </w:r>
      <w:r w:rsidRPr="00EB6D81">
        <w:rPr>
          <w:rFonts w:ascii="Arial" w:hAnsi="Arial" w:cs="Arial"/>
          <w:caps w:val="0"/>
          <w:sz w:val="50"/>
          <w:szCs w:val="50"/>
        </w:rPr>
        <w:t xml:space="preserve">are </w:t>
      </w:r>
      <w:r>
        <w:rPr>
          <w:rFonts w:ascii="Arial" w:hAnsi="Arial" w:cs="Arial"/>
          <w:caps w:val="0"/>
          <w:sz w:val="50"/>
          <w:szCs w:val="50"/>
        </w:rPr>
        <w:t>D</w:t>
      </w:r>
      <w:r w:rsidRPr="00EB6D81">
        <w:rPr>
          <w:rFonts w:ascii="Arial" w:hAnsi="Arial" w:cs="Arial"/>
          <w:caps w:val="0"/>
          <w:sz w:val="50"/>
          <w:szCs w:val="50"/>
        </w:rPr>
        <w:t xml:space="preserve">ata </w:t>
      </w:r>
      <w:r>
        <w:rPr>
          <w:rFonts w:ascii="Arial" w:hAnsi="Arial" w:cs="Arial"/>
          <w:caps w:val="0"/>
          <w:sz w:val="50"/>
          <w:szCs w:val="50"/>
        </w:rPr>
        <w:t>S</w:t>
      </w:r>
      <w:r w:rsidRPr="00EB6D81">
        <w:rPr>
          <w:rFonts w:ascii="Arial" w:hAnsi="Arial" w:cs="Arial"/>
          <w:caps w:val="0"/>
          <w:sz w:val="50"/>
          <w:szCs w:val="50"/>
        </w:rPr>
        <w:t xml:space="preserve">haring </w:t>
      </w:r>
      <w:r>
        <w:rPr>
          <w:rFonts w:ascii="Arial" w:hAnsi="Arial" w:cs="Arial"/>
          <w:caps w:val="0"/>
          <w:sz w:val="50"/>
          <w:szCs w:val="50"/>
        </w:rPr>
        <w:t>FAQ</w:t>
      </w:r>
      <w:r w:rsidRPr="00EB6D81">
        <w:rPr>
          <w:rFonts w:ascii="Arial" w:hAnsi="Arial" w:cs="Arial"/>
          <w:caps w:val="0"/>
          <w:sz w:val="50"/>
          <w:szCs w:val="50"/>
        </w:rPr>
        <w:t>s</w:t>
      </w:r>
    </w:p>
    <w:p w14:paraId="3671B850" w14:textId="0B5F1F42" w:rsidR="009E136C" w:rsidRPr="00EB6D81" w:rsidRDefault="009E136C" w:rsidP="009E136C">
      <w:pPr>
        <w:pStyle w:val="Subtitle"/>
        <w:rPr>
          <w:rFonts w:ascii="Arial" w:hAnsi="Arial" w:cs="Arial"/>
        </w:rPr>
      </w:pPr>
      <w:r w:rsidRPr="00EB6D81">
        <w:rPr>
          <w:rFonts w:ascii="Arial" w:hAnsi="Arial" w:cs="Arial"/>
        </w:rPr>
        <w:t>Frequently Asked Questions supporting Data Sharing Agreements and the CAG Section 251 application</w:t>
      </w:r>
    </w:p>
    <w:p w14:paraId="35878CEF" w14:textId="434A32B1" w:rsidR="009E136C" w:rsidRPr="00EB6D81" w:rsidRDefault="009E136C" w:rsidP="009E136C">
      <w:pPr>
        <w:rPr>
          <w:rFonts w:ascii="Arial" w:hAnsi="Arial" w:cs="Arial"/>
        </w:rPr>
      </w:pPr>
      <w:r w:rsidRPr="00EB6D81">
        <w:rPr>
          <w:rFonts w:ascii="Arial" w:hAnsi="Arial" w:cs="Arial"/>
        </w:rPr>
        <w:t>The below questions have been collated based on feedback gathered during the engagement and rollout of the new Dat</w:t>
      </w:r>
      <w:r w:rsidR="00EB6D81">
        <w:rPr>
          <w:rFonts w:ascii="Arial" w:hAnsi="Arial" w:cs="Arial"/>
        </w:rPr>
        <w:t>a</w:t>
      </w:r>
      <w:r w:rsidRPr="00EB6D81">
        <w:rPr>
          <w:rFonts w:ascii="Arial" w:hAnsi="Arial" w:cs="Arial"/>
        </w:rPr>
        <w:t xml:space="preserve"> Sharing Agreement</w:t>
      </w:r>
      <w:r w:rsidR="00EB6D81">
        <w:rPr>
          <w:rFonts w:ascii="Arial" w:hAnsi="Arial" w:cs="Arial"/>
        </w:rPr>
        <w:t xml:space="preserve"> (DSA)</w:t>
      </w:r>
      <w:r w:rsidRPr="00EB6D81">
        <w:rPr>
          <w:rFonts w:ascii="Arial" w:hAnsi="Arial" w:cs="Arial"/>
        </w:rPr>
        <w:t xml:space="preserve"> to support the One Health and Care</w:t>
      </w:r>
      <w:r w:rsidR="00A100FD">
        <w:rPr>
          <w:rFonts w:ascii="Arial" w:hAnsi="Arial" w:cs="Arial"/>
        </w:rPr>
        <w:t xml:space="preserve"> (OHC)</w:t>
      </w:r>
      <w:r w:rsidRPr="00EB6D81">
        <w:rPr>
          <w:rFonts w:ascii="Arial" w:hAnsi="Arial" w:cs="Arial"/>
        </w:rPr>
        <w:t xml:space="preserve"> shared care record</w:t>
      </w:r>
      <w:r w:rsidR="00A100FD">
        <w:rPr>
          <w:rFonts w:ascii="Arial" w:hAnsi="Arial" w:cs="Arial"/>
        </w:rPr>
        <w:t xml:space="preserve"> (</w:t>
      </w:r>
      <w:proofErr w:type="spellStart"/>
      <w:r w:rsidR="00A100FD">
        <w:rPr>
          <w:rFonts w:ascii="Arial" w:hAnsi="Arial" w:cs="Arial"/>
        </w:rPr>
        <w:t>ShCR</w:t>
      </w:r>
      <w:proofErr w:type="spellEnd"/>
      <w:r w:rsidR="00A100FD">
        <w:rPr>
          <w:rFonts w:ascii="Arial" w:hAnsi="Arial" w:cs="Arial"/>
        </w:rPr>
        <w:t>)</w:t>
      </w:r>
      <w:r w:rsidRPr="00EB6D81">
        <w:rPr>
          <w:rFonts w:ascii="Arial" w:hAnsi="Arial" w:cs="Arial"/>
        </w:rPr>
        <w:t xml:space="preserve"> programme.</w:t>
      </w:r>
    </w:p>
    <w:p w14:paraId="12D538D9" w14:textId="77777777" w:rsidR="00985AEA" w:rsidRPr="00EB6D81" w:rsidRDefault="009E136C" w:rsidP="00985AEA">
      <w:pPr>
        <w:rPr>
          <w:rFonts w:ascii="Arial" w:hAnsi="Arial" w:cs="Arial"/>
          <w:color w:val="000000" w:themeColor="text1"/>
        </w:rPr>
      </w:pPr>
      <w:r w:rsidRPr="00EB6D81">
        <w:rPr>
          <w:rFonts w:ascii="Arial" w:hAnsi="Arial" w:cs="Arial"/>
        </w:rPr>
        <w:t>This document will be updated with any further questions or points needing further clarification and will be used to support ongoing engagement covering One Health and Care.</w:t>
      </w:r>
      <w:r w:rsidR="00985AEA" w:rsidRPr="00EB6D81">
        <w:rPr>
          <w:rFonts w:ascii="Arial" w:hAnsi="Arial" w:cs="Arial"/>
        </w:rPr>
        <w:t xml:space="preserve"> </w:t>
      </w:r>
    </w:p>
    <w:p w14:paraId="18F2A750" w14:textId="5C278DF6" w:rsidR="00985AEA" w:rsidRPr="00EB6D81" w:rsidRDefault="00985AEA" w:rsidP="00985AEA">
      <w:pPr>
        <w:rPr>
          <w:rFonts w:ascii="Arial" w:hAnsi="Arial" w:cs="Arial"/>
          <w:color w:val="000000" w:themeColor="text1"/>
        </w:rPr>
      </w:pPr>
      <w:r w:rsidRPr="00EB6D81">
        <w:rPr>
          <w:rFonts w:ascii="Arial" w:hAnsi="Arial" w:cs="Arial"/>
          <w:color w:val="000000" w:themeColor="text1"/>
        </w:rPr>
        <w:t>For any feedback, queries or clarifications, please contact the One Health and Care team at</w:t>
      </w:r>
      <w:r w:rsidRPr="00EB6D81">
        <w:rPr>
          <w:rFonts w:ascii="Arial" w:hAnsi="Arial" w:cs="Arial"/>
          <w:b/>
          <w:bCs/>
          <w:color w:val="000000" w:themeColor="text1"/>
        </w:rPr>
        <w:t xml:space="preserve"> </w:t>
      </w:r>
      <w:hyperlink r:id="rId5" w:history="1">
        <w:r w:rsidRPr="00EB6D81">
          <w:rPr>
            <w:rStyle w:val="Hyperlink"/>
            <w:rFonts w:ascii="Arial" w:hAnsi="Arial" w:cs="Arial"/>
            <w:b/>
            <w:bCs/>
          </w:rPr>
          <w:t>bcicb.ohc-shcrprogramme@nhs.net</w:t>
        </w:r>
      </w:hyperlink>
      <w:r w:rsidRPr="00EB6D81">
        <w:rPr>
          <w:rFonts w:ascii="Arial" w:hAnsi="Arial" w:cs="Arial"/>
          <w:b/>
          <w:bCs/>
          <w:color w:val="000000" w:themeColor="text1"/>
        </w:rPr>
        <w:t xml:space="preserve"> </w:t>
      </w:r>
    </w:p>
    <w:p w14:paraId="11AFE469" w14:textId="300970AB" w:rsidR="009E136C" w:rsidRDefault="009E136C" w:rsidP="009E136C"/>
    <w:tbl>
      <w:tblPr>
        <w:tblStyle w:val="TableGrid"/>
        <w:tblW w:w="0" w:type="auto"/>
        <w:tblLook w:val="04A0" w:firstRow="1" w:lastRow="0" w:firstColumn="1" w:lastColumn="0" w:noHBand="0" w:noVBand="1"/>
      </w:tblPr>
      <w:tblGrid>
        <w:gridCol w:w="3005"/>
        <w:gridCol w:w="3005"/>
        <w:gridCol w:w="3006"/>
      </w:tblGrid>
      <w:tr w:rsidR="009E136C" w14:paraId="2EE7EFFA" w14:textId="77777777" w:rsidTr="009E136C">
        <w:tc>
          <w:tcPr>
            <w:tcW w:w="3005" w:type="dxa"/>
            <w:shd w:val="clear" w:color="auto" w:fill="DAE9F7" w:themeFill="text2" w:themeFillTint="1A"/>
          </w:tcPr>
          <w:p w14:paraId="4E61D928" w14:textId="41A4A1B5" w:rsidR="009E136C" w:rsidRDefault="009E136C" w:rsidP="00546AF8">
            <w:pPr>
              <w:jc w:val="center"/>
            </w:pPr>
            <w:r>
              <w:t>Version Number</w:t>
            </w:r>
          </w:p>
        </w:tc>
        <w:tc>
          <w:tcPr>
            <w:tcW w:w="3005" w:type="dxa"/>
            <w:shd w:val="clear" w:color="auto" w:fill="DAE9F7" w:themeFill="text2" w:themeFillTint="1A"/>
          </w:tcPr>
          <w:p w14:paraId="1AD4C2F4" w14:textId="69F51F45" w:rsidR="009E136C" w:rsidRDefault="009E136C" w:rsidP="00546AF8">
            <w:pPr>
              <w:jc w:val="center"/>
            </w:pPr>
            <w:r>
              <w:t>Date</w:t>
            </w:r>
          </w:p>
        </w:tc>
        <w:tc>
          <w:tcPr>
            <w:tcW w:w="3006" w:type="dxa"/>
            <w:shd w:val="clear" w:color="auto" w:fill="DAE9F7" w:themeFill="text2" w:themeFillTint="1A"/>
          </w:tcPr>
          <w:p w14:paraId="6F47C1EF" w14:textId="6550488E" w:rsidR="009E136C" w:rsidRDefault="009E136C" w:rsidP="00546AF8">
            <w:pPr>
              <w:jc w:val="center"/>
            </w:pPr>
            <w:r>
              <w:t>Comments</w:t>
            </w:r>
          </w:p>
        </w:tc>
      </w:tr>
      <w:tr w:rsidR="009E136C" w14:paraId="5ADB95B2" w14:textId="77777777" w:rsidTr="009E136C">
        <w:tc>
          <w:tcPr>
            <w:tcW w:w="3005" w:type="dxa"/>
          </w:tcPr>
          <w:p w14:paraId="1ED3DE33" w14:textId="37D6247B" w:rsidR="009E136C" w:rsidRDefault="009E136C" w:rsidP="00546AF8">
            <w:pPr>
              <w:jc w:val="center"/>
            </w:pPr>
            <w:r>
              <w:t>1.0</w:t>
            </w:r>
          </w:p>
        </w:tc>
        <w:tc>
          <w:tcPr>
            <w:tcW w:w="3005" w:type="dxa"/>
          </w:tcPr>
          <w:p w14:paraId="41000DBD" w14:textId="400E2C8C" w:rsidR="009E136C" w:rsidRDefault="009E136C" w:rsidP="00546AF8">
            <w:pPr>
              <w:jc w:val="center"/>
            </w:pPr>
            <w:r>
              <w:t>14/01/26</w:t>
            </w:r>
          </w:p>
        </w:tc>
        <w:tc>
          <w:tcPr>
            <w:tcW w:w="3006" w:type="dxa"/>
          </w:tcPr>
          <w:p w14:paraId="3A1BE2E1" w14:textId="61751DFE" w:rsidR="009E136C" w:rsidRDefault="009E136C" w:rsidP="00546AF8">
            <w:pPr>
              <w:jc w:val="center"/>
            </w:pPr>
            <w:r>
              <w:t>Final copy</w:t>
            </w:r>
          </w:p>
        </w:tc>
      </w:tr>
      <w:tr w:rsidR="009E136C" w14:paraId="4976D4A2" w14:textId="77777777" w:rsidTr="009E136C">
        <w:tc>
          <w:tcPr>
            <w:tcW w:w="3005" w:type="dxa"/>
          </w:tcPr>
          <w:p w14:paraId="7DFC0549" w14:textId="6C07FA30" w:rsidR="009E136C" w:rsidRDefault="008C4EBF" w:rsidP="00546AF8">
            <w:pPr>
              <w:jc w:val="center"/>
            </w:pPr>
            <w:r>
              <w:t>1.1</w:t>
            </w:r>
          </w:p>
        </w:tc>
        <w:tc>
          <w:tcPr>
            <w:tcW w:w="3005" w:type="dxa"/>
          </w:tcPr>
          <w:p w14:paraId="4863ACD1" w14:textId="0FF76FDB" w:rsidR="009E136C" w:rsidRDefault="008C4EBF" w:rsidP="00546AF8">
            <w:pPr>
              <w:jc w:val="center"/>
            </w:pPr>
            <w:r>
              <w:t>15/01/26</w:t>
            </w:r>
          </w:p>
        </w:tc>
        <w:tc>
          <w:tcPr>
            <w:tcW w:w="3006" w:type="dxa"/>
          </w:tcPr>
          <w:p w14:paraId="32E9ABF6" w14:textId="37AD27DB" w:rsidR="009E136C" w:rsidRDefault="008C4EBF" w:rsidP="00546AF8">
            <w:pPr>
              <w:jc w:val="center"/>
            </w:pPr>
            <w:r>
              <w:t>Questions combined for readability</w:t>
            </w:r>
          </w:p>
        </w:tc>
      </w:tr>
      <w:tr w:rsidR="009E136C" w14:paraId="7C00EB5D" w14:textId="77777777" w:rsidTr="009E136C">
        <w:tc>
          <w:tcPr>
            <w:tcW w:w="3005" w:type="dxa"/>
          </w:tcPr>
          <w:p w14:paraId="3876D838" w14:textId="64CBFA44" w:rsidR="009E136C" w:rsidRDefault="00D85042" w:rsidP="00546AF8">
            <w:pPr>
              <w:jc w:val="center"/>
            </w:pPr>
            <w:r>
              <w:t>1.2</w:t>
            </w:r>
          </w:p>
        </w:tc>
        <w:tc>
          <w:tcPr>
            <w:tcW w:w="3005" w:type="dxa"/>
          </w:tcPr>
          <w:p w14:paraId="4251B309" w14:textId="0FD31555" w:rsidR="009E136C" w:rsidRDefault="00D85042" w:rsidP="00546AF8">
            <w:pPr>
              <w:jc w:val="center"/>
            </w:pPr>
            <w:r>
              <w:t>16/01/26</w:t>
            </w:r>
          </w:p>
        </w:tc>
        <w:tc>
          <w:tcPr>
            <w:tcW w:w="3006" w:type="dxa"/>
          </w:tcPr>
          <w:p w14:paraId="534E402D" w14:textId="7071070E" w:rsidR="009E136C" w:rsidRDefault="006B6D9A" w:rsidP="00546AF8">
            <w:pPr>
              <w:jc w:val="center"/>
            </w:pPr>
            <w:r>
              <w:t>Change to ‘</w:t>
            </w:r>
            <w:r w:rsidR="00246D82">
              <w:t xml:space="preserve">What Happens if I don’t sign the agreement’ and creation of separate </w:t>
            </w:r>
            <w:r w:rsidR="00CA367D">
              <w:t>FAQ relating to research and INTs</w:t>
            </w:r>
          </w:p>
        </w:tc>
      </w:tr>
    </w:tbl>
    <w:p w14:paraId="0FCBBAEE" w14:textId="4013CDA2" w:rsidR="009E136C" w:rsidRPr="00546AF8" w:rsidRDefault="009E136C" w:rsidP="00546AF8">
      <w:pPr>
        <w:jc w:val="center"/>
      </w:pPr>
    </w:p>
    <w:p w14:paraId="4CB4CD54" w14:textId="50DF7052" w:rsidR="00546AF8" w:rsidRPr="00EB6D81" w:rsidRDefault="00546AF8" w:rsidP="009E136C">
      <w:pPr>
        <w:pStyle w:val="Heading2"/>
        <w:rPr>
          <w:rFonts w:ascii="Arial" w:hAnsi="Arial" w:cs="Arial"/>
        </w:rPr>
      </w:pPr>
      <w:r w:rsidRPr="00EB6D81">
        <w:rPr>
          <w:rFonts w:ascii="Arial" w:hAnsi="Arial" w:cs="Arial"/>
        </w:rPr>
        <w:t>How do we know who the data controller is?</w:t>
      </w:r>
      <w:r w:rsidR="009E136C" w:rsidRPr="00EB6D81">
        <w:rPr>
          <w:rFonts w:ascii="Arial" w:hAnsi="Arial" w:cs="Arial"/>
          <w:noProof/>
        </w:rPr>
        <w:t xml:space="preserve"> </w:t>
      </w:r>
    </w:p>
    <w:p w14:paraId="4F35F15F" w14:textId="5889E0B3" w:rsidR="00546AF8" w:rsidRPr="00EB6D81" w:rsidRDefault="00546AF8" w:rsidP="00546AF8">
      <w:pPr>
        <w:rPr>
          <w:rFonts w:ascii="Arial" w:hAnsi="Arial" w:cs="Arial"/>
        </w:rPr>
      </w:pPr>
      <w:r w:rsidRPr="00EB6D81">
        <w:rPr>
          <w:rFonts w:ascii="Arial" w:hAnsi="Arial" w:cs="Arial"/>
        </w:rPr>
        <w:t xml:space="preserve">Data controllers are clearly listed within the data sharing agreement and will be strictly limited to organisations providing NHS care for local council delivered social care. Any additional organisations looking to onboard will be thoroughly vetted on elements such as </w:t>
      </w:r>
      <w:r w:rsidR="001B0D82">
        <w:rPr>
          <w:rFonts w:ascii="Arial" w:hAnsi="Arial" w:cs="Arial"/>
        </w:rPr>
        <w:t>Data Security Protection Toolkit (</w:t>
      </w:r>
      <w:commentRangeStart w:id="0"/>
      <w:r w:rsidRPr="00EB6D81">
        <w:rPr>
          <w:rFonts w:ascii="Arial" w:hAnsi="Arial" w:cs="Arial"/>
        </w:rPr>
        <w:t>DSPT</w:t>
      </w:r>
      <w:commentRangeEnd w:id="0"/>
      <w:r w:rsidR="00EB6D81">
        <w:rPr>
          <w:rStyle w:val="CommentReference"/>
          <w:rFonts w:ascii="Arial" w:hAnsi="Arial" w:cs="Arial"/>
          <w:sz w:val="22"/>
          <w:szCs w:val="22"/>
        </w:rPr>
        <w:commentReference w:id="0"/>
      </w:r>
      <w:r w:rsidR="001B0D82">
        <w:rPr>
          <w:rFonts w:ascii="Arial" w:hAnsi="Arial" w:cs="Arial"/>
        </w:rPr>
        <w:t>)</w:t>
      </w:r>
      <w:r w:rsidRPr="00EB6D81">
        <w:rPr>
          <w:rFonts w:ascii="Arial" w:hAnsi="Arial" w:cs="Arial"/>
        </w:rPr>
        <w:t xml:space="preserve"> compliance, Multi Factor Authentication and Role Based Access Controls.</w:t>
      </w:r>
      <w:r w:rsidR="00287615" w:rsidRPr="00EB6D81">
        <w:rPr>
          <w:rFonts w:ascii="Arial" w:hAnsi="Arial" w:cs="Arial"/>
        </w:rPr>
        <w:t xml:space="preserve"> Organisations contributing their data into One Health and Care remain the sole data controllers for their information.</w:t>
      </w:r>
    </w:p>
    <w:p w14:paraId="4DC436A0" w14:textId="2E578D60" w:rsidR="00546AF8" w:rsidRPr="00EB6D81" w:rsidRDefault="00546AF8" w:rsidP="009E136C">
      <w:pPr>
        <w:pStyle w:val="Heading2"/>
        <w:rPr>
          <w:rFonts w:ascii="Arial" w:hAnsi="Arial" w:cs="Arial"/>
        </w:rPr>
      </w:pPr>
      <w:r w:rsidRPr="00EB6D81">
        <w:rPr>
          <w:rFonts w:ascii="Arial" w:hAnsi="Arial" w:cs="Arial"/>
        </w:rPr>
        <w:t>What support is available around AI? What protection is available around AI?</w:t>
      </w:r>
    </w:p>
    <w:p w14:paraId="451F73D4" w14:textId="3C7E200C" w:rsidR="00287615" w:rsidRPr="00EB6D81" w:rsidRDefault="00287615" w:rsidP="00546AF8">
      <w:pPr>
        <w:rPr>
          <w:rFonts w:ascii="Arial" w:hAnsi="Arial" w:cs="Arial"/>
          <w:color w:val="000000" w:themeColor="text1"/>
        </w:rPr>
      </w:pPr>
      <w:r w:rsidRPr="00EB6D81">
        <w:rPr>
          <w:rFonts w:ascii="Arial" w:hAnsi="Arial" w:cs="Arial"/>
          <w:color w:val="000000" w:themeColor="text1"/>
        </w:rPr>
        <w:t xml:space="preserve">The scoped uses of OHC data do not currently include any provision for the use of AI on OHC data. Any proposal for new projects using OHC data </w:t>
      </w:r>
      <w:commentRangeStart w:id="1"/>
      <w:r w:rsidRPr="00EB6D81">
        <w:rPr>
          <w:rFonts w:ascii="Arial" w:hAnsi="Arial" w:cs="Arial"/>
          <w:color w:val="000000" w:themeColor="text1"/>
        </w:rPr>
        <w:t xml:space="preserve">will be </w:t>
      </w:r>
      <w:commentRangeEnd w:id="1"/>
      <w:r w:rsidR="00EB6D81" w:rsidRPr="00EB6D81">
        <w:rPr>
          <w:rStyle w:val="CommentReference"/>
          <w:rFonts w:ascii="Arial" w:hAnsi="Arial" w:cs="Arial"/>
          <w:color w:val="000000" w:themeColor="text1"/>
          <w:sz w:val="22"/>
          <w:szCs w:val="22"/>
        </w:rPr>
        <w:commentReference w:id="1"/>
      </w:r>
      <w:r w:rsidRPr="00EB6D81">
        <w:rPr>
          <w:rFonts w:ascii="Arial" w:hAnsi="Arial" w:cs="Arial"/>
          <w:color w:val="000000" w:themeColor="text1"/>
        </w:rPr>
        <w:t>vetted for appropriateness via the Information Governance Advisory Board and must declare any intention to apply AI tools to the data.</w:t>
      </w:r>
    </w:p>
    <w:p w14:paraId="7B706812" w14:textId="77777777" w:rsidR="00546AF8" w:rsidRPr="00EB6D81" w:rsidRDefault="00546AF8" w:rsidP="009E136C">
      <w:pPr>
        <w:pStyle w:val="Heading2"/>
        <w:rPr>
          <w:rFonts w:ascii="Arial" w:hAnsi="Arial" w:cs="Arial"/>
        </w:rPr>
      </w:pPr>
      <w:r w:rsidRPr="00EB6D81">
        <w:rPr>
          <w:rFonts w:ascii="Arial" w:hAnsi="Arial" w:cs="Arial"/>
        </w:rPr>
        <w:t>Please can we have more information about what data is being shared and how it is protected?</w:t>
      </w:r>
    </w:p>
    <w:p w14:paraId="2255737A" w14:textId="14482299" w:rsidR="00546AF8" w:rsidRPr="00A100FD" w:rsidRDefault="00546AF8" w:rsidP="00546AF8">
      <w:pPr>
        <w:rPr>
          <w:rFonts w:ascii="Arial" w:hAnsi="Arial" w:cs="Arial"/>
        </w:rPr>
      </w:pPr>
      <w:r w:rsidRPr="00A100FD">
        <w:rPr>
          <w:rFonts w:ascii="Arial" w:hAnsi="Arial" w:cs="Arial"/>
        </w:rPr>
        <w:t xml:space="preserve">The DSA includes detail on the specific </w:t>
      </w:r>
      <w:proofErr w:type="gramStart"/>
      <w:r w:rsidRPr="00A100FD">
        <w:rPr>
          <w:rFonts w:ascii="Arial" w:hAnsi="Arial" w:cs="Arial"/>
        </w:rPr>
        <w:t>data</w:t>
      </w:r>
      <w:r w:rsidR="00EB6D81" w:rsidRPr="00A100FD">
        <w:rPr>
          <w:rFonts w:ascii="Arial" w:hAnsi="Arial" w:cs="Arial"/>
        </w:rPr>
        <w:t>,</w:t>
      </w:r>
      <w:proofErr w:type="gramEnd"/>
      <w:r w:rsidRPr="00A100FD">
        <w:rPr>
          <w:rFonts w:ascii="Arial" w:hAnsi="Arial" w:cs="Arial"/>
        </w:rPr>
        <w:t xml:space="preserve"> however it can be summarised as:</w:t>
      </w:r>
    </w:p>
    <w:p w14:paraId="433BC964" w14:textId="4AD50A53" w:rsidR="00546AF8" w:rsidRPr="00A100FD" w:rsidRDefault="00546AF8" w:rsidP="00546AF8">
      <w:pPr>
        <w:rPr>
          <w:rFonts w:ascii="Arial" w:hAnsi="Arial" w:cs="Arial"/>
        </w:rPr>
      </w:pPr>
      <w:r w:rsidRPr="00A100FD">
        <w:rPr>
          <w:rFonts w:ascii="Arial" w:hAnsi="Arial" w:cs="Arial"/>
        </w:rPr>
        <w:t xml:space="preserve">Demographics, </w:t>
      </w:r>
      <w:r w:rsidR="001B0D82">
        <w:rPr>
          <w:rFonts w:ascii="Arial" w:hAnsi="Arial" w:cs="Arial"/>
        </w:rPr>
        <w:t>Admission/Discharge/Transfer (</w:t>
      </w:r>
      <w:commentRangeStart w:id="2"/>
      <w:r w:rsidRPr="00A100FD">
        <w:rPr>
          <w:rFonts w:ascii="Arial" w:hAnsi="Arial" w:cs="Arial"/>
        </w:rPr>
        <w:t>ADT</w:t>
      </w:r>
      <w:commentRangeEnd w:id="2"/>
      <w:r w:rsidR="00EB6D81">
        <w:rPr>
          <w:rStyle w:val="CommentReference"/>
          <w:rFonts w:ascii="Arial" w:hAnsi="Arial" w:cs="Arial"/>
          <w:sz w:val="22"/>
          <w:szCs w:val="22"/>
        </w:rPr>
        <w:commentReference w:id="2"/>
      </w:r>
      <w:r w:rsidR="001B0D82">
        <w:rPr>
          <w:rFonts w:ascii="Arial" w:hAnsi="Arial" w:cs="Arial"/>
        </w:rPr>
        <w:t>)</w:t>
      </w:r>
      <w:r w:rsidRPr="00A100FD">
        <w:rPr>
          <w:rFonts w:ascii="Arial" w:hAnsi="Arial" w:cs="Arial"/>
        </w:rPr>
        <w:t xml:space="preserve"> info</w:t>
      </w:r>
      <w:r w:rsidR="001B0D82">
        <w:rPr>
          <w:rFonts w:ascii="Arial" w:hAnsi="Arial" w:cs="Arial"/>
        </w:rPr>
        <w:t>rmation</w:t>
      </w:r>
      <w:r w:rsidRPr="00A100FD">
        <w:rPr>
          <w:rFonts w:ascii="Arial" w:hAnsi="Arial" w:cs="Arial"/>
        </w:rPr>
        <w:t xml:space="preserve">, radiology, medication, adults social care, inpatient admission details, outpatient and referral info, mental health, and </w:t>
      </w:r>
      <w:r w:rsidR="001B0D82">
        <w:rPr>
          <w:rFonts w:ascii="Arial" w:hAnsi="Arial" w:cs="Arial"/>
        </w:rPr>
        <w:t>Emergency Department (</w:t>
      </w:r>
      <w:commentRangeStart w:id="3"/>
      <w:r w:rsidRPr="00A100FD">
        <w:rPr>
          <w:rFonts w:ascii="Arial" w:hAnsi="Arial" w:cs="Arial"/>
        </w:rPr>
        <w:t>ED</w:t>
      </w:r>
      <w:commentRangeEnd w:id="3"/>
      <w:r w:rsidR="00EB6D81">
        <w:rPr>
          <w:rStyle w:val="CommentReference"/>
          <w:rFonts w:ascii="Arial" w:hAnsi="Arial" w:cs="Arial"/>
          <w:sz w:val="22"/>
          <w:szCs w:val="22"/>
        </w:rPr>
        <w:commentReference w:id="3"/>
      </w:r>
      <w:r w:rsidR="001B0D82">
        <w:rPr>
          <w:rFonts w:ascii="Arial" w:hAnsi="Arial" w:cs="Arial"/>
        </w:rPr>
        <w:t>)</w:t>
      </w:r>
      <w:r w:rsidRPr="00A100FD">
        <w:rPr>
          <w:rFonts w:ascii="Arial" w:hAnsi="Arial" w:cs="Arial"/>
        </w:rPr>
        <w:t xml:space="preserve"> data. This data is sourced from primary care, secondary acute and mental health, W</w:t>
      </w:r>
      <w:r w:rsidR="00EB6D81" w:rsidRPr="00A100FD">
        <w:rPr>
          <w:rFonts w:ascii="Arial" w:hAnsi="Arial" w:cs="Arial"/>
        </w:rPr>
        <w:t xml:space="preserve">est </w:t>
      </w:r>
      <w:r w:rsidRPr="00A100FD">
        <w:rPr>
          <w:rFonts w:ascii="Arial" w:hAnsi="Arial" w:cs="Arial"/>
        </w:rPr>
        <w:t>M</w:t>
      </w:r>
      <w:r w:rsidR="00EB6D81" w:rsidRPr="00A100FD">
        <w:rPr>
          <w:rFonts w:ascii="Arial" w:hAnsi="Arial" w:cs="Arial"/>
        </w:rPr>
        <w:t xml:space="preserve">idlands </w:t>
      </w:r>
      <w:r w:rsidRPr="00A100FD">
        <w:rPr>
          <w:rFonts w:ascii="Arial" w:hAnsi="Arial" w:cs="Arial"/>
        </w:rPr>
        <w:t>A</w:t>
      </w:r>
      <w:r w:rsidR="00EB6D81" w:rsidRPr="00A100FD">
        <w:rPr>
          <w:rFonts w:ascii="Arial" w:hAnsi="Arial" w:cs="Arial"/>
        </w:rPr>
        <w:t xml:space="preserve">mbulance </w:t>
      </w:r>
      <w:r w:rsidRPr="00A100FD">
        <w:rPr>
          <w:rFonts w:ascii="Arial" w:hAnsi="Arial" w:cs="Arial"/>
        </w:rPr>
        <w:t>S</w:t>
      </w:r>
      <w:r w:rsidR="00EB6D81" w:rsidRPr="00A100FD">
        <w:rPr>
          <w:rFonts w:ascii="Arial" w:hAnsi="Arial" w:cs="Arial"/>
        </w:rPr>
        <w:t>ervice (WMAS)</w:t>
      </w:r>
      <w:r w:rsidRPr="00A100FD">
        <w:rPr>
          <w:rFonts w:ascii="Arial" w:hAnsi="Arial" w:cs="Arial"/>
        </w:rPr>
        <w:t xml:space="preserve">, Black Country social care providers and others across </w:t>
      </w:r>
      <w:r w:rsidR="005A1FBF" w:rsidRPr="00A100FD">
        <w:rPr>
          <w:rFonts w:ascii="Arial" w:hAnsi="Arial" w:cs="Arial"/>
        </w:rPr>
        <w:t xml:space="preserve">Staffordshire </w:t>
      </w:r>
      <w:r w:rsidR="00EB6D81" w:rsidRPr="00A100FD">
        <w:rPr>
          <w:rFonts w:ascii="Arial" w:hAnsi="Arial" w:cs="Arial"/>
        </w:rPr>
        <w:t>and</w:t>
      </w:r>
      <w:r w:rsidR="005A1FBF" w:rsidRPr="00A100FD">
        <w:rPr>
          <w:rFonts w:ascii="Arial" w:hAnsi="Arial" w:cs="Arial"/>
        </w:rPr>
        <w:t xml:space="preserve"> Stoke on Trent and </w:t>
      </w:r>
      <w:r w:rsidRPr="00A100FD">
        <w:rPr>
          <w:rFonts w:ascii="Arial" w:hAnsi="Arial" w:cs="Arial"/>
        </w:rPr>
        <w:t>S</w:t>
      </w:r>
      <w:r w:rsidR="005A1FBF" w:rsidRPr="00A100FD">
        <w:rPr>
          <w:rFonts w:ascii="Arial" w:hAnsi="Arial" w:cs="Arial"/>
        </w:rPr>
        <w:t xml:space="preserve">hropshire </w:t>
      </w:r>
      <w:r w:rsidRPr="00A100FD">
        <w:rPr>
          <w:rFonts w:ascii="Arial" w:hAnsi="Arial" w:cs="Arial"/>
        </w:rPr>
        <w:t>T</w:t>
      </w:r>
      <w:r w:rsidR="005A1FBF" w:rsidRPr="00A100FD">
        <w:rPr>
          <w:rFonts w:ascii="Arial" w:hAnsi="Arial" w:cs="Arial"/>
        </w:rPr>
        <w:t xml:space="preserve">elford </w:t>
      </w:r>
      <w:r w:rsidR="00EB6D81" w:rsidRPr="00A100FD">
        <w:rPr>
          <w:rFonts w:ascii="Arial" w:hAnsi="Arial" w:cs="Arial"/>
        </w:rPr>
        <w:t>and</w:t>
      </w:r>
      <w:r w:rsidR="005A1FBF" w:rsidRPr="00A100FD">
        <w:rPr>
          <w:rFonts w:ascii="Arial" w:hAnsi="Arial" w:cs="Arial"/>
        </w:rPr>
        <w:t xml:space="preserve"> </w:t>
      </w:r>
      <w:r w:rsidRPr="00A100FD">
        <w:rPr>
          <w:rFonts w:ascii="Arial" w:hAnsi="Arial" w:cs="Arial"/>
        </w:rPr>
        <w:t>W</w:t>
      </w:r>
      <w:r w:rsidR="005A1FBF" w:rsidRPr="00A100FD">
        <w:rPr>
          <w:rFonts w:ascii="Arial" w:hAnsi="Arial" w:cs="Arial"/>
        </w:rPr>
        <w:t>rekin</w:t>
      </w:r>
      <w:r w:rsidRPr="00A100FD">
        <w:rPr>
          <w:rFonts w:ascii="Arial" w:hAnsi="Arial" w:cs="Arial"/>
        </w:rPr>
        <w:t>.</w:t>
      </w:r>
    </w:p>
    <w:p w14:paraId="67A9D266" w14:textId="760515A8" w:rsidR="00546AF8" w:rsidRPr="00A100FD" w:rsidRDefault="00546AF8" w:rsidP="00546AF8">
      <w:pPr>
        <w:rPr>
          <w:rFonts w:ascii="Arial" w:hAnsi="Arial" w:cs="Arial"/>
        </w:rPr>
      </w:pPr>
      <w:r w:rsidRPr="00A100FD">
        <w:rPr>
          <w:rFonts w:ascii="Arial" w:hAnsi="Arial" w:cs="Arial"/>
        </w:rPr>
        <w:lastRenderedPageBreak/>
        <w:t xml:space="preserve">Details on how the data is protected from a cyber security perspective are detailed heavily in the </w:t>
      </w:r>
      <w:r w:rsidR="001B0D82">
        <w:rPr>
          <w:rFonts w:ascii="Arial" w:hAnsi="Arial" w:cs="Arial"/>
        </w:rPr>
        <w:t>Data Privacy impact Assessment (</w:t>
      </w:r>
      <w:commentRangeStart w:id="4"/>
      <w:r w:rsidRPr="00A100FD">
        <w:rPr>
          <w:rFonts w:ascii="Arial" w:hAnsi="Arial" w:cs="Arial"/>
        </w:rPr>
        <w:t>DPIA</w:t>
      </w:r>
      <w:commentRangeEnd w:id="4"/>
      <w:r w:rsidR="00EB6D81">
        <w:rPr>
          <w:rStyle w:val="CommentReference"/>
          <w:rFonts w:ascii="Arial" w:hAnsi="Arial" w:cs="Arial"/>
          <w:sz w:val="22"/>
          <w:szCs w:val="22"/>
        </w:rPr>
        <w:commentReference w:id="4"/>
      </w:r>
      <w:r w:rsidR="001B0D82">
        <w:rPr>
          <w:rFonts w:ascii="Arial" w:hAnsi="Arial" w:cs="Arial"/>
        </w:rPr>
        <w:t>)</w:t>
      </w:r>
      <w:r w:rsidRPr="00A100FD">
        <w:rPr>
          <w:rFonts w:ascii="Arial" w:hAnsi="Arial" w:cs="Arial"/>
        </w:rPr>
        <w:t xml:space="preserve"> but to summarise, all data is held on UK servers and is not shared for any purpose outside of the provider organisations listed. The data will not be used for research and cannot be accessed by private organisations such as pharmaceutical companies.</w:t>
      </w:r>
    </w:p>
    <w:p w14:paraId="1E3CAE83" w14:textId="60B74F28" w:rsidR="00287615" w:rsidRPr="00A100FD" w:rsidRDefault="00287615" w:rsidP="009E136C">
      <w:pPr>
        <w:pStyle w:val="Heading2"/>
        <w:rPr>
          <w:rFonts w:ascii="Arial" w:hAnsi="Arial" w:cs="Arial"/>
        </w:rPr>
      </w:pPr>
      <w:r w:rsidRPr="00A100FD">
        <w:rPr>
          <w:rFonts w:ascii="Arial" w:hAnsi="Arial" w:cs="Arial"/>
        </w:rPr>
        <w:t xml:space="preserve">Please describe the ICB’s Information Governance Advisory Group’s governance arrangements to protect who accesses the One Health and Care </w:t>
      </w:r>
      <w:r w:rsidR="00A100FD">
        <w:rPr>
          <w:rFonts w:ascii="Arial" w:hAnsi="Arial" w:cs="Arial"/>
        </w:rPr>
        <w:t>r</w:t>
      </w:r>
      <w:r w:rsidRPr="00A100FD">
        <w:rPr>
          <w:rFonts w:ascii="Arial" w:hAnsi="Arial" w:cs="Arial"/>
        </w:rPr>
        <w:t>ecord and approves the intended use of the data being accessed?</w:t>
      </w:r>
    </w:p>
    <w:p w14:paraId="5EE1A719" w14:textId="77777777" w:rsidR="000D1335" w:rsidRDefault="00287615" w:rsidP="00546AF8">
      <w:pPr>
        <w:rPr>
          <w:rFonts w:ascii="Arial" w:hAnsi="Arial" w:cs="Arial"/>
          <w:color w:val="000000" w:themeColor="text1"/>
        </w:rPr>
      </w:pPr>
      <w:r w:rsidRPr="00A100FD">
        <w:rPr>
          <w:rFonts w:ascii="Arial" w:hAnsi="Arial" w:cs="Arial"/>
          <w:color w:val="000000" w:themeColor="text1"/>
        </w:rPr>
        <w:t xml:space="preserve">The Information Governance Advisory Group (IGAG) is the identified group responsible for the oversight of strong </w:t>
      </w:r>
      <w:r w:rsidR="00A100FD">
        <w:rPr>
          <w:rFonts w:ascii="Arial" w:hAnsi="Arial" w:cs="Arial"/>
          <w:color w:val="000000" w:themeColor="text1"/>
        </w:rPr>
        <w:t>information governance (</w:t>
      </w:r>
      <w:r w:rsidRPr="00A100FD">
        <w:rPr>
          <w:rFonts w:ascii="Arial" w:hAnsi="Arial" w:cs="Arial"/>
          <w:color w:val="000000" w:themeColor="text1"/>
        </w:rPr>
        <w:t>IG</w:t>
      </w:r>
      <w:r w:rsidR="00A100FD">
        <w:rPr>
          <w:rFonts w:ascii="Arial" w:hAnsi="Arial" w:cs="Arial"/>
          <w:color w:val="000000" w:themeColor="text1"/>
        </w:rPr>
        <w:t>)</w:t>
      </w:r>
      <w:r w:rsidRPr="00A100FD">
        <w:rPr>
          <w:rFonts w:ascii="Arial" w:hAnsi="Arial" w:cs="Arial"/>
          <w:color w:val="000000" w:themeColor="text1"/>
        </w:rPr>
        <w:t xml:space="preserve"> controls across the OHC platform and providers. IGAG consists of information governance, programme, clinical and operational colleagues drawn from ICB and provider organisations across each of the </w:t>
      </w:r>
      <w:r w:rsidR="00A100FD">
        <w:rPr>
          <w:rFonts w:ascii="Arial" w:hAnsi="Arial" w:cs="Arial"/>
          <w:color w:val="000000" w:themeColor="text1"/>
        </w:rPr>
        <w:t>three</w:t>
      </w:r>
      <w:r w:rsidRPr="00A100FD">
        <w:rPr>
          <w:rFonts w:ascii="Arial" w:hAnsi="Arial" w:cs="Arial"/>
          <w:color w:val="000000" w:themeColor="text1"/>
        </w:rPr>
        <w:t xml:space="preserve"> ICS areas of OHC. </w:t>
      </w:r>
    </w:p>
    <w:p w14:paraId="7CDF513E" w14:textId="01BD869B" w:rsidR="00287615" w:rsidRPr="00A100FD" w:rsidRDefault="00287615" w:rsidP="00546AF8">
      <w:pPr>
        <w:rPr>
          <w:rFonts w:ascii="Arial" w:hAnsi="Arial" w:cs="Arial"/>
          <w:color w:val="000000" w:themeColor="text1"/>
        </w:rPr>
      </w:pPr>
      <w:r w:rsidRPr="00A100FD">
        <w:rPr>
          <w:rFonts w:ascii="Arial" w:hAnsi="Arial" w:cs="Arial"/>
          <w:color w:val="000000" w:themeColor="text1"/>
        </w:rPr>
        <w:t xml:space="preserve">The group is open to any representative from providers or ICBs who wishes to be involved in the IG discussions relating to OHC delivery. The group oversees compliance with various processes such as onboarding of new partners and data feeds, reviews of requests for direct care and secondary </w:t>
      </w:r>
      <w:r w:rsidR="00A100FD">
        <w:rPr>
          <w:rFonts w:ascii="Arial" w:hAnsi="Arial" w:cs="Arial"/>
          <w:color w:val="000000" w:themeColor="text1"/>
        </w:rPr>
        <w:t>u</w:t>
      </w:r>
      <w:r w:rsidRPr="00A100FD">
        <w:rPr>
          <w:rFonts w:ascii="Arial" w:hAnsi="Arial" w:cs="Arial"/>
          <w:color w:val="000000" w:themeColor="text1"/>
        </w:rPr>
        <w:t>se applications of data, processes and procedures for the management of OHC locally, and the audit and assurance process for data quality. IGAG encourages participation from providers and interested parties are encouraged to reach out to their ICB OHC programme lead who can facilitate invites to the meeting.</w:t>
      </w:r>
    </w:p>
    <w:p w14:paraId="604D516A" w14:textId="77777777" w:rsidR="004839C1" w:rsidRDefault="00546AF8" w:rsidP="004839C1">
      <w:pPr>
        <w:pStyle w:val="Heading2"/>
        <w:rPr>
          <w:rFonts w:ascii="Arial" w:hAnsi="Arial" w:cs="Arial"/>
          <w:i/>
          <w:iCs/>
        </w:rPr>
      </w:pPr>
      <w:r w:rsidRPr="00A100FD">
        <w:rPr>
          <w:rFonts w:ascii="Arial" w:hAnsi="Arial" w:cs="Arial"/>
        </w:rPr>
        <w:t>What happens if I don’t sign the agreement</w:t>
      </w:r>
      <w:r w:rsidRPr="00A100FD">
        <w:rPr>
          <w:rFonts w:ascii="Arial" w:hAnsi="Arial" w:cs="Arial"/>
          <w:i/>
          <w:iCs/>
        </w:rPr>
        <w:t>?</w:t>
      </w:r>
    </w:p>
    <w:p w14:paraId="5D4828BD" w14:textId="37700A71" w:rsidR="00040530" w:rsidRPr="004839C1" w:rsidRDefault="00040530" w:rsidP="004839C1">
      <w:pPr>
        <w:pStyle w:val="Heading2"/>
        <w:rPr>
          <w:rFonts w:ascii="Arial" w:hAnsi="Arial" w:cs="Arial"/>
          <w:color w:val="auto"/>
          <w:sz w:val="22"/>
          <w:szCs w:val="22"/>
        </w:rPr>
      </w:pPr>
      <w:r w:rsidRPr="004839C1">
        <w:rPr>
          <w:rFonts w:ascii="Arial" w:hAnsi="Arial" w:cs="Arial"/>
          <w:color w:val="auto"/>
          <w:sz w:val="22"/>
          <w:szCs w:val="22"/>
        </w:rPr>
        <w:t>The One Health and Care (OHC) Programme can only move forward if all data controllers sign the Data Sharing Agreements (DSAs). This is a requirement for securing the s251 approval. If even one organisation chooses not to sign, the approval cannot be granted, and the ICB Executive will need to review the situation and decide on next steps.</w:t>
      </w:r>
    </w:p>
    <w:p w14:paraId="4DAFFF18" w14:textId="389F8548" w:rsidR="003717AA" w:rsidRPr="003717AA" w:rsidRDefault="003717AA" w:rsidP="00040530">
      <w:pPr>
        <w:pStyle w:val="NormalWeb"/>
        <w:rPr>
          <w:rFonts w:ascii="Arial" w:hAnsi="Arial" w:cs="Arial"/>
          <w:sz w:val="22"/>
          <w:szCs w:val="22"/>
        </w:rPr>
      </w:pPr>
      <w:r>
        <w:rPr>
          <w:rFonts w:ascii="Arial" w:hAnsi="Arial" w:cs="Arial"/>
          <w:sz w:val="22"/>
          <w:szCs w:val="22"/>
        </w:rPr>
        <w:t>To support every practice</w:t>
      </w:r>
      <w:r w:rsidR="007557DE">
        <w:rPr>
          <w:rFonts w:ascii="Arial" w:hAnsi="Arial" w:cs="Arial"/>
          <w:sz w:val="22"/>
          <w:szCs w:val="22"/>
        </w:rPr>
        <w:t xml:space="preserve"> in making an informed decision, we are providing webinars where you can build your understanding</w:t>
      </w:r>
      <w:r w:rsidR="00376000">
        <w:rPr>
          <w:rFonts w:ascii="Arial" w:hAnsi="Arial" w:cs="Arial"/>
          <w:sz w:val="22"/>
          <w:szCs w:val="22"/>
        </w:rPr>
        <w:t xml:space="preserve"> and ask questions, as well as a dedicated email address for specific queries.  Almost half of practices </w:t>
      </w:r>
      <w:r w:rsidR="0020442C">
        <w:rPr>
          <w:rFonts w:ascii="Arial" w:hAnsi="Arial" w:cs="Arial"/>
          <w:sz w:val="22"/>
          <w:szCs w:val="22"/>
        </w:rPr>
        <w:t xml:space="preserve">have already signed </w:t>
      </w:r>
      <w:r w:rsidR="00376000">
        <w:rPr>
          <w:rFonts w:ascii="Arial" w:hAnsi="Arial" w:cs="Arial"/>
          <w:sz w:val="22"/>
          <w:szCs w:val="22"/>
        </w:rPr>
        <w:t>(</w:t>
      </w:r>
      <w:r w:rsidR="004B3A9C">
        <w:rPr>
          <w:rFonts w:ascii="Arial" w:hAnsi="Arial" w:cs="Arial"/>
          <w:sz w:val="22"/>
          <w:szCs w:val="22"/>
        </w:rPr>
        <w:t xml:space="preserve">80 practices, </w:t>
      </w:r>
      <w:r w:rsidR="00376000">
        <w:rPr>
          <w:rFonts w:ascii="Arial" w:hAnsi="Arial" w:cs="Arial"/>
          <w:sz w:val="22"/>
          <w:szCs w:val="22"/>
        </w:rPr>
        <w:t xml:space="preserve">47% as </w:t>
      </w:r>
      <w:proofErr w:type="gramStart"/>
      <w:r w:rsidR="00376000">
        <w:rPr>
          <w:rFonts w:ascii="Arial" w:hAnsi="Arial" w:cs="Arial"/>
          <w:sz w:val="22"/>
          <w:szCs w:val="22"/>
        </w:rPr>
        <w:t>at</w:t>
      </w:r>
      <w:proofErr w:type="gramEnd"/>
      <w:r w:rsidR="00376000">
        <w:rPr>
          <w:rFonts w:ascii="Arial" w:hAnsi="Arial" w:cs="Arial"/>
          <w:sz w:val="22"/>
          <w:szCs w:val="22"/>
        </w:rPr>
        <w:t xml:space="preserve"> </w:t>
      </w:r>
      <w:r w:rsidR="004B3A9C">
        <w:rPr>
          <w:rFonts w:ascii="Arial" w:hAnsi="Arial" w:cs="Arial"/>
          <w:sz w:val="22"/>
          <w:szCs w:val="22"/>
        </w:rPr>
        <w:t>14</w:t>
      </w:r>
      <w:r w:rsidR="004B3A9C" w:rsidRPr="004B3A9C">
        <w:rPr>
          <w:rFonts w:ascii="Arial" w:hAnsi="Arial" w:cs="Arial"/>
          <w:sz w:val="22"/>
          <w:szCs w:val="22"/>
          <w:vertAlign w:val="superscript"/>
        </w:rPr>
        <w:t>th</w:t>
      </w:r>
      <w:r w:rsidR="004B3A9C">
        <w:rPr>
          <w:rFonts w:ascii="Arial" w:hAnsi="Arial" w:cs="Arial"/>
          <w:sz w:val="22"/>
          <w:szCs w:val="22"/>
        </w:rPr>
        <w:t xml:space="preserve"> January 2026)</w:t>
      </w:r>
      <w:r w:rsidR="0020442C">
        <w:rPr>
          <w:rFonts w:ascii="Arial" w:hAnsi="Arial" w:cs="Arial"/>
          <w:sz w:val="22"/>
          <w:szCs w:val="22"/>
        </w:rPr>
        <w:t>, and our aim is to ensure everyone has the clarity and confidence to do the same.</w:t>
      </w:r>
    </w:p>
    <w:p w14:paraId="6A1E8B46" w14:textId="4891677E" w:rsidR="00EA6146" w:rsidRDefault="00040530" w:rsidP="0020442C">
      <w:pPr>
        <w:pStyle w:val="NormalWeb"/>
        <w:rPr>
          <w:rFonts w:ascii="Arial" w:hAnsi="Arial" w:cs="Arial"/>
        </w:rPr>
      </w:pPr>
      <w:r w:rsidRPr="003717AA">
        <w:rPr>
          <w:rFonts w:ascii="Arial" w:hAnsi="Arial" w:cs="Arial"/>
          <w:sz w:val="22"/>
          <w:szCs w:val="22"/>
        </w:rPr>
        <w:t>In the worst</w:t>
      </w:r>
      <w:r w:rsidR="0020442C">
        <w:rPr>
          <w:rFonts w:ascii="Arial" w:hAnsi="Arial" w:cs="Arial"/>
          <w:sz w:val="22"/>
          <w:szCs w:val="22"/>
        </w:rPr>
        <w:t>-</w:t>
      </w:r>
      <w:r w:rsidRPr="003717AA">
        <w:rPr>
          <w:rFonts w:ascii="Arial" w:hAnsi="Arial" w:cs="Arial"/>
          <w:sz w:val="22"/>
          <w:szCs w:val="22"/>
        </w:rPr>
        <w:t xml:space="preserve">case scenario, </w:t>
      </w:r>
      <w:r w:rsidR="0020442C">
        <w:rPr>
          <w:rFonts w:ascii="Arial" w:hAnsi="Arial" w:cs="Arial"/>
          <w:sz w:val="22"/>
          <w:szCs w:val="22"/>
        </w:rPr>
        <w:t xml:space="preserve">and note not yet </w:t>
      </w:r>
      <w:r w:rsidR="00B807C1">
        <w:rPr>
          <w:rFonts w:ascii="Arial" w:hAnsi="Arial" w:cs="Arial"/>
          <w:sz w:val="22"/>
          <w:szCs w:val="22"/>
        </w:rPr>
        <w:t xml:space="preserve">agreed, </w:t>
      </w:r>
      <w:r w:rsidRPr="003717AA">
        <w:rPr>
          <w:rFonts w:ascii="Arial" w:hAnsi="Arial" w:cs="Arial"/>
          <w:sz w:val="22"/>
          <w:szCs w:val="22"/>
        </w:rPr>
        <w:t>any organisation that does not sign the agreement will be removed from participation with the OHC programme. This means losing access to key functionality such as viewing patient information from recent admissions, direct care dashboards, utilisation data, and population health insights. It would also mean that GP</w:t>
      </w:r>
      <w:r w:rsidRPr="003717AA">
        <w:rPr>
          <w:rFonts w:ascii="Arial" w:hAnsi="Arial" w:cs="Arial"/>
          <w:sz w:val="22"/>
          <w:szCs w:val="22"/>
        </w:rPr>
        <w:noBreakHyphen/>
        <w:t>sourced information from that practice would no longer be available to other care settings, which would naturally affect the continuity and quality of care patients receive elsewhere.</w:t>
      </w:r>
      <w:r w:rsidR="007557DE">
        <w:rPr>
          <w:rFonts w:ascii="Arial" w:hAnsi="Arial" w:cs="Arial"/>
          <w:sz w:val="22"/>
          <w:szCs w:val="22"/>
        </w:rPr>
        <w:t xml:space="preserve">   </w:t>
      </w:r>
    </w:p>
    <w:p w14:paraId="5AA36672" w14:textId="32D680F8" w:rsidR="005A1FBF" w:rsidRPr="00A100FD" w:rsidRDefault="005A1FBF" w:rsidP="009E136C">
      <w:pPr>
        <w:pStyle w:val="Heading2"/>
        <w:rPr>
          <w:rFonts w:ascii="Arial" w:hAnsi="Arial" w:cs="Arial"/>
        </w:rPr>
      </w:pPr>
      <w:r w:rsidRPr="00A100FD">
        <w:rPr>
          <w:rFonts w:ascii="Arial" w:hAnsi="Arial" w:cs="Arial"/>
        </w:rPr>
        <w:t xml:space="preserve">What do the agreements cover? </w:t>
      </w:r>
    </w:p>
    <w:p w14:paraId="4E260B7B" w14:textId="19213B1C" w:rsidR="005A1FBF" w:rsidRPr="00A100FD" w:rsidRDefault="005A1FBF" w:rsidP="005A1FBF">
      <w:pPr>
        <w:rPr>
          <w:rFonts w:ascii="Arial" w:hAnsi="Arial" w:cs="Arial"/>
        </w:rPr>
      </w:pPr>
      <w:r w:rsidRPr="00A100FD">
        <w:rPr>
          <w:rFonts w:ascii="Arial" w:hAnsi="Arial" w:cs="Arial"/>
        </w:rPr>
        <w:t xml:space="preserve">The data sharing framework agreement is to replace the existing data sharing agreement you have already signed for direct care. This allows partners across </w:t>
      </w:r>
      <w:r w:rsidR="00A100FD">
        <w:rPr>
          <w:rFonts w:ascii="Arial" w:hAnsi="Arial" w:cs="Arial"/>
        </w:rPr>
        <w:t>three</w:t>
      </w:r>
      <w:r w:rsidRPr="00A100FD">
        <w:rPr>
          <w:rFonts w:ascii="Arial" w:hAnsi="Arial" w:cs="Arial"/>
        </w:rPr>
        <w:t xml:space="preserve"> ICS’s access to data to provide patients wholistic </w:t>
      </w:r>
      <w:proofErr w:type="gramStart"/>
      <w:r w:rsidRPr="00A100FD">
        <w:rPr>
          <w:rFonts w:ascii="Arial" w:hAnsi="Arial" w:cs="Arial"/>
        </w:rPr>
        <w:t>care</w:t>
      </w:r>
      <w:r w:rsidR="00A100FD">
        <w:rPr>
          <w:rFonts w:ascii="Arial" w:hAnsi="Arial" w:cs="Arial"/>
        </w:rPr>
        <w:t>,</w:t>
      </w:r>
      <w:r w:rsidRPr="00A100FD">
        <w:rPr>
          <w:rFonts w:ascii="Arial" w:hAnsi="Arial" w:cs="Arial"/>
        </w:rPr>
        <w:t xml:space="preserve"> but</w:t>
      </w:r>
      <w:proofErr w:type="gramEnd"/>
      <w:r w:rsidRPr="00A100FD">
        <w:rPr>
          <w:rFonts w:ascii="Arial" w:hAnsi="Arial" w:cs="Arial"/>
        </w:rPr>
        <w:t xml:space="preserve"> also update it in line with changes in the way the programme operates, allowing the ICB as a ‘coordinating partner’ to onboard new partners and carry out all the due diligence checks on behalf of other partners. It also introduces the ability to use the shared care record data in an anonymised way (this process of </w:t>
      </w:r>
      <w:r w:rsidRPr="00A100FD">
        <w:rPr>
          <w:rFonts w:ascii="Arial" w:hAnsi="Arial" w:cs="Arial"/>
        </w:rPr>
        <w:lastRenderedPageBreak/>
        <w:t xml:space="preserve">anonymisation is carried out by </w:t>
      </w:r>
      <w:proofErr w:type="spellStart"/>
      <w:r w:rsidRPr="00A100FD">
        <w:rPr>
          <w:rFonts w:ascii="Arial" w:hAnsi="Arial" w:cs="Arial"/>
        </w:rPr>
        <w:t>Graphnet</w:t>
      </w:r>
      <w:proofErr w:type="spellEnd"/>
      <w:r w:rsidRPr="00A100FD">
        <w:rPr>
          <w:rFonts w:ascii="Arial" w:hAnsi="Arial" w:cs="Arial"/>
        </w:rPr>
        <w:t xml:space="preserve"> as a processor), to allow partners to conduct population health analysis activities. </w:t>
      </w:r>
    </w:p>
    <w:p w14:paraId="4333F9F2" w14:textId="77777777" w:rsidR="005A1FBF" w:rsidRPr="00A100FD" w:rsidRDefault="005A1FBF" w:rsidP="005A1FBF">
      <w:pPr>
        <w:rPr>
          <w:rFonts w:ascii="Arial" w:hAnsi="Arial" w:cs="Arial"/>
        </w:rPr>
      </w:pPr>
      <w:r w:rsidRPr="00A100FD">
        <w:rPr>
          <w:rFonts w:ascii="Arial" w:hAnsi="Arial" w:cs="Arial"/>
        </w:rPr>
        <w:t>The current use cases that have been included within the OHC data sharing agreement and s251 application are:</w:t>
      </w:r>
    </w:p>
    <w:p w14:paraId="3C08814C" w14:textId="2B6A6A4D" w:rsidR="005A1FBF" w:rsidRPr="00A100FD" w:rsidRDefault="005A1FBF" w:rsidP="005A1FBF">
      <w:pPr>
        <w:numPr>
          <w:ilvl w:val="0"/>
          <w:numId w:val="1"/>
        </w:numPr>
        <w:rPr>
          <w:rFonts w:ascii="Arial" w:hAnsi="Arial" w:cs="Arial"/>
        </w:rPr>
      </w:pPr>
      <w:r w:rsidRPr="00A100FD">
        <w:rPr>
          <w:rFonts w:ascii="Arial" w:hAnsi="Arial" w:cs="Arial"/>
        </w:rPr>
        <w:t>Direct Care – for organisations to utilise OHC for the direct care of patients within their care and dictates a framework by which responsibility is defined for all parties</w:t>
      </w:r>
      <w:r w:rsidR="00A100FD">
        <w:rPr>
          <w:rFonts w:ascii="Arial" w:hAnsi="Arial" w:cs="Arial"/>
        </w:rPr>
        <w:t>.</w:t>
      </w:r>
    </w:p>
    <w:p w14:paraId="2D5505EB" w14:textId="77777777" w:rsidR="005A1FBF" w:rsidRPr="00A100FD" w:rsidRDefault="005A1FBF" w:rsidP="005A1FBF">
      <w:pPr>
        <w:numPr>
          <w:ilvl w:val="0"/>
          <w:numId w:val="1"/>
        </w:numPr>
        <w:rPr>
          <w:rFonts w:ascii="Arial" w:hAnsi="Arial" w:cs="Arial"/>
        </w:rPr>
      </w:pPr>
      <w:r w:rsidRPr="00A100FD">
        <w:rPr>
          <w:rFonts w:ascii="Arial" w:hAnsi="Arial" w:cs="Arial"/>
        </w:rPr>
        <w:t>Secondary Use – this would enable organisations to solely utilise OHC data for non-direct care purposes and the current application included to specific use cases:</w:t>
      </w:r>
    </w:p>
    <w:p w14:paraId="31D0E2E3" w14:textId="77777777" w:rsidR="005A1FBF" w:rsidRPr="00A100FD" w:rsidRDefault="005A1FBF" w:rsidP="005A1FBF">
      <w:pPr>
        <w:numPr>
          <w:ilvl w:val="1"/>
          <w:numId w:val="1"/>
        </w:numPr>
        <w:rPr>
          <w:rFonts w:ascii="Arial" w:hAnsi="Arial" w:cs="Arial"/>
        </w:rPr>
      </w:pPr>
      <w:r w:rsidRPr="00A100FD">
        <w:rPr>
          <w:rFonts w:ascii="Arial" w:hAnsi="Arial" w:cs="Arial"/>
        </w:rPr>
        <w:t>Population Health Management, which is a strategy aimed at improving the health outcomes of a defined group of individuals through enhanced care coordination and patient engagement.</w:t>
      </w:r>
    </w:p>
    <w:p w14:paraId="359CE220" w14:textId="080C87D7" w:rsidR="005A1FBF" w:rsidRPr="00A100FD" w:rsidRDefault="005A1FBF" w:rsidP="005A1FBF">
      <w:pPr>
        <w:numPr>
          <w:ilvl w:val="1"/>
          <w:numId w:val="1"/>
        </w:numPr>
        <w:rPr>
          <w:rFonts w:ascii="Arial" w:hAnsi="Arial" w:cs="Arial"/>
        </w:rPr>
      </w:pPr>
      <w:r w:rsidRPr="00A100FD">
        <w:rPr>
          <w:rFonts w:ascii="Arial" w:hAnsi="Arial" w:cs="Arial"/>
        </w:rPr>
        <w:t xml:space="preserve">Planning and Service Improvement, which utilises </w:t>
      </w:r>
      <w:r w:rsidR="00A100FD">
        <w:rPr>
          <w:rFonts w:ascii="Arial" w:hAnsi="Arial" w:cs="Arial"/>
        </w:rPr>
        <w:t>p</w:t>
      </w:r>
      <w:r w:rsidRPr="00A100FD">
        <w:rPr>
          <w:rFonts w:ascii="Arial" w:hAnsi="Arial" w:cs="Arial"/>
        </w:rPr>
        <w:t xml:space="preserve">seudonymised or anonymised data for the purposes of planning and service improvement across the </w:t>
      </w:r>
      <w:r w:rsidR="00A100FD">
        <w:rPr>
          <w:rFonts w:ascii="Arial" w:hAnsi="Arial" w:cs="Arial"/>
        </w:rPr>
        <w:t>three</w:t>
      </w:r>
      <w:r w:rsidRPr="00A100FD">
        <w:rPr>
          <w:rFonts w:ascii="Arial" w:hAnsi="Arial" w:cs="Arial"/>
        </w:rPr>
        <w:t xml:space="preserve"> ICS areas, through the structured process of identifying, designing and implementing changes to enhance the quality, efficiency and effectiveness of a service</w:t>
      </w:r>
    </w:p>
    <w:p w14:paraId="0C90EFBC" w14:textId="77777777" w:rsidR="005A1FBF" w:rsidRDefault="005A1FBF" w:rsidP="005A1FBF">
      <w:pPr>
        <w:rPr>
          <w:b/>
          <w:bCs/>
          <w:u w:val="single"/>
        </w:rPr>
      </w:pPr>
    </w:p>
    <w:p w14:paraId="0448491C" w14:textId="2D4A4BB5" w:rsidR="005A1FBF" w:rsidRPr="00223012" w:rsidRDefault="005A1FBF" w:rsidP="009E136C">
      <w:pPr>
        <w:pStyle w:val="Heading2"/>
        <w:rPr>
          <w:rFonts w:ascii="Arial" w:hAnsi="Arial" w:cs="Arial"/>
        </w:rPr>
      </w:pPr>
      <w:r w:rsidRPr="00223012">
        <w:rPr>
          <w:rFonts w:ascii="Arial" w:hAnsi="Arial" w:cs="Arial"/>
        </w:rPr>
        <w:t>What needs to be in place to allow data to be shared for Population Health Management</w:t>
      </w:r>
      <w:r w:rsidR="00223012">
        <w:rPr>
          <w:rFonts w:ascii="Arial" w:hAnsi="Arial" w:cs="Arial"/>
        </w:rPr>
        <w:t xml:space="preserve"> (PHM)</w:t>
      </w:r>
      <w:r w:rsidRPr="00223012">
        <w:rPr>
          <w:rFonts w:ascii="Arial" w:hAnsi="Arial" w:cs="Arial"/>
        </w:rPr>
        <w:t>?</w:t>
      </w:r>
    </w:p>
    <w:p w14:paraId="1743691F" w14:textId="7779C533" w:rsidR="005A1FBF" w:rsidRPr="00223012" w:rsidRDefault="005A1FBF" w:rsidP="005A1FBF">
      <w:pPr>
        <w:rPr>
          <w:rFonts w:ascii="Arial" w:hAnsi="Arial" w:cs="Arial"/>
        </w:rPr>
      </w:pPr>
      <w:r w:rsidRPr="00223012">
        <w:rPr>
          <w:rFonts w:ascii="Arial" w:hAnsi="Arial" w:cs="Arial"/>
        </w:rPr>
        <w:t>You as a partner need to sign the DSA to agree that the controls around the data are permitted for secondary use as well as having an approved</w:t>
      </w:r>
      <w:r w:rsidR="005A5C90">
        <w:rPr>
          <w:rFonts w:ascii="Arial" w:hAnsi="Arial" w:cs="Arial"/>
        </w:rPr>
        <w:t xml:space="preserve"> </w:t>
      </w:r>
      <w:r w:rsidR="005A5C90" w:rsidRPr="005A5C90">
        <w:rPr>
          <w:rFonts w:ascii="Arial" w:hAnsi="Arial" w:cs="Arial"/>
        </w:rPr>
        <w:t>Confidentiality Advisory Group</w:t>
      </w:r>
      <w:r w:rsidRPr="00223012">
        <w:rPr>
          <w:rFonts w:ascii="Arial" w:hAnsi="Arial" w:cs="Arial"/>
        </w:rPr>
        <w:t xml:space="preserve"> </w:t>
      </w:r>
      <w:r w:rsidR="005A5C90">
        <w:rPr>
          <w:rFonts w:ascii="Arial" w:hAnsi="Arial" w:cs="Arial"/>
        </w:rPr>
        <w:t>(</w:t>
      </w:r>
      <w:r w:rsidRPr="00223012">
        <w:rPr>
          <w:rFonts w:ascii="Arial" w:hAnsi="Arial" w:cs="Arial"/>
        </w:rPr>
        <w:t>CAG</w:t>
      </w:r>
      <w:r w:rsidR="005A5C90">
        <w:rPr>
          <w:rFonts w:ascii="Arial" w:hAnsi="Arial" w:cs="Arial"/>
        </w:rPr>
        <w:t>)</w:t>
      </w:r>
      <w:r w:rsidRPr="00223012">
        <w:rPr>
          <w:rFonts w:ascii="Arial" w:hAnsi="Arial" w:cs="Arial"/>
        </w:rPr>
        <w:t xml:space="preserve"> application giving OHC section 251 to use the data you have provided for care purposes and anonymise it. All partners need to sign the agreement and have the CAG approved before any data can be shared for secondary use. </w:t>
      </w:r>
    </w:p>
    <w:p w14:paraId="0B50AC92" w14:textId="227C95B0" w:rsidR="005A1FBF" w:rsidRPr="00223012" w:rsidRDefault="005A1FBF" w:rsidP="009E136C">
      <w:pPr>
        <w:pStyle w:val="Heading2"/>
        <w:rPr>
          <w:rFonts w:ascii="Arial" w:hAnsi="Arial" w:cs="Arial"/>
        </w:rPr>
      </w:pPr>
      <w:r w:rsidRPr="00223012">
        <w:rPr>
          <w:rFonts w:ascii="Arial" w:hAnsi="Arial" w:cs="Arial"/>
        </w:rPr>
        <w:t xml:space="preserve">What is the </w:t>
      </w:r>
      <w:r w:rsidR="00223012">
        <w:rPr>
          <w:rFonts w:ascii="Arial" w:hAnsi="Arial" w:cs="Arial"/>
        </w:rPr>
        <w:t>s</w:t>
      </w:r>
      <w:r w:rsidRPr="00223012">
        <w:rPr>
          <w:rFonts w:ascii="Arial" w:hAnsi="Arial" w:cs="Arial"/>
        </w:rPr>
        <w:t xml:space="preserve">ection 251 for and what does it cover? </w:t>
      </w:r>
    </w:p>
    <w:p w14:paraId="5CE7760A" w14:textId="1AF681DD" w:rsidR="005A1FBF" w:rsidRPr="00223012" w:rsidRDefault="005A1FBF" w:rsidP="005A1FBF">
      <w:pPr>
        <w:rPr>
          <w:rFonts w:ascii="Arial" w:hAnsi="Arial" w:cs="Arial"/>
        </w:rPr>
      </w:pPr>
      <w:r w:rsidRPr="00223012">
        <w:rPr>
          <w:rFonts w:ascii="Arial" w:hAnsi="Arial" w:cs="Arial"/>
        </w:rPr>
        <w:t xml:space="preserve">There will be a CAG application to cover </w:t>
      </w:r>
      <w:r w:rsidR="001B0D82">
        <w:rPr>
          <w:rFonts w:ascii="Arial" w:hAnsi="Arial" w:cs="Arial"/>
        </w:rPr>
        <w:t>l</w:t>
      </w:r>
      <w:r w:rsidRPr="00223012">
        <w:rPr>
          <w:rFonts w:ascii="Arial" w:hAnsi="Arial" w:cs="Arial"/>
        </w:rPr>
        <w:t xml:space="preserve">egal requirement to have a legal gateway under </w:t>
      </w:r>
      <w:r w:rsidR="00223012">
        <w:rPr>
          <w:rFonts w:ascii="Arial" w:hAnsi="Arial" w:cs="Arial"/>
        </w:rPr>
        <w:t>s</w:t>
      </w:r>
      <w:r w:rsidRPr="00223012">
        <w:rPr>
          <w:rFonts w:ascii="Arial" w:hAnsi="Arial" w:cs="Arial"/>
        </w:rPr>
        <w:t xml:space="preserve">ection 251 of the NHS Act 2006 to cover the common law requirement for </w:t>
      </w:r>
      <w:proofErr w:type="spellStart"/>
      <w:r w:rsidRPr="00223012">
        <w:rPr>
          <w:rFonts w:ascii="Arial" w:hAnsi="Arial" w:cs="Arial"/>
        </w:rPr>
        <w:t>Graphnet</w:t>
      </w:r>
      <w:proofErr w:type="spellEnd"/>
      <w:r w:rsidRPr="00223012">
        <w:rPr>
          <w:rFonts w:ascii="Arial" w:hAnsi="Arial" w:cs="Arial"/>
        </w:rPr>
        <w:t xml:space="preserve"> to access the identifiable data to anonymise it on behalf of all partners. This will create an anonymised data mart, for which access is governed by requests to the OHC IGAG.</w:t>
      </w:r>
    </w:p>
    <w:p w14:paraId="63296B22" w14:textId="035C24B0" w:rsidR="005A1FBF" w:rsidRPr="00223012" w:rsidRDefault="005A1FBF" w:rsidP="005A1FBF">
      <w:pPr>
        <w:rPr>
          <w:rFonts w:ascii="Arial" w:hAnsi="Arial" w:cs="Arial"/>
        </w:rPr>
      </w:pPr>
      <w:r w:rsidRPr="00223012">
        <w:rPr>
          <w:rFonts w:ascii="Arial" w:hAnsi="Arial" w:cs="Arial"/>
        </w:rPr>
        <w:t xml:space="preserve">The application covers the data within OHC being used for PHM activities only. It does not cover research. It does not include linkage with other data sets. No data will be permitted to be used until this legal gateway is granted and agreements have been signed; the application is with CAG for consideration. </w:t>
      </w:r>
    </w:p>
    <w:p w14:paraId="33701844" w14:textId="43E6D1C3" w:rsidR="005A1FBF" w:rsidRDefault="005A1FBF" w:rsidP="009E136C">
      <w:pPr>
        <w:pStyle w:val="Heading2"/>
        <w:rPr>
          <w:rFonts w:ascii="Arial" w:hAnsi="Arial" w:cs="Arial"/>
        </w:rPr>
      </w:pPr>
      <w:commentRangeStart w:id="5"/>
      <w:r w:rsidRPr="00223012">
        <w:rPr>
          <w:rFonts w:ascii="Arial" w:hAnsi="Arial" w:cs="Arial"/>
        </w:rPr>
        <w:t xml:space="preserve">How will opt outs </w:t>
      </w:r>
      <w:r w:rsidR="001B0D82">
        <w:rPr>
          <w:rFonts w:ascii="Arial" w:hAnsi="Arial" w:cs="Arial"/>
        </w:rPr>
        <w:t xml:space="preserve">and objections </w:t>
      </w:r>
      <w:r w:rsidRPr="00223012">
        <w:rPr>
          <w:rFonts w:ascii="Arial" w:hAnsi="Arial" w:cs="Arial"/>
        </w:rPr>
        <w:t>be managed?</w:t>
      </w:r>
    </w:p>
    <w:p w14:paraId="19EEF204" w14:textId="1EB2FFDF" w:rsidR="005A1FBF" w:rsidRPr="00223012" w:rsidRDefault="001B0D82" w:rsidP="005A1FBF">
      <w:pPr>
        <w:rPr>
          <w:rFonts w:ascii="Arial" w:hAnsi="Arial" w:cs="Arial"/>
        </w:rPr>
      </w:pPr>
      <w:r w:rsidRPr="00A100FD">
        <w:rPr>
          <w:rFonts w:ascii="Arial" w:hAnsi="Arial" w:cs="Arial"/>
        </w:rPr>
        <w:t>Patients will be directed to the OHC programme at the ICB to act as the central point of contact for opt outs</w:t>
      </w:r>
      <w:r>
        <w:rPr>
          <w:rFonts w:ascii="Arial" w:hAnsi="Arial" w:cs="Arial"/>
        </w:rPr>
        <w:t xml:space="preserve"> and objections</w:t>
      </w:r>
      <w:r w:rsidRPr="00A100FD">
        <w:rPr>
          <w:rFonts w:ascii="Arial" w:hAnsi="Arial" w:cs="Arial"/>
        </w:rPr>
        <w:t xml:space="preserve">. </w:t>
      </w:r>
      <w:r w:rsidRPr="00223012">
        <w:rPr>
          <w:rFonts w:ascii="Arial" w:hAnsi="Arial" w:cs="Arial"/>
        </w:rPr>
        <w:t>The team is best equipped to advise patients on detail</w:t>
      </w:r>
      <w:r w:rsidR="00AE6A44">
        <w:rPr>
          <w:rFonts w:ascii="Arial" w:hAnsi="Arial" w:cs="Arial"/>
        </w:rPr>
        <w:t>s</w:t>
      </w:r>
      <w:r w:rsidRPr="00223012">
        <w:rPr>
          <w:rFonts w:ascii="Arial" w:hAnsi="Arial" w:cs="Arial"/>
        </w:rPr>
        <w:t xml:space="preserve"> around the purpose of OHC</w:t>
      </w:r>
      <w:r w:rsidR="00AE6A44">
        <w:rPr>
          <w:rFonts w:ascii="Arial" w:hAnsi="Arial" w:cs="Arial"/>
        </w:rPr>
        <w:t>,</w:t>
      </w:r>
      <w:r w:rsidRPr="00223012">
        <w:rPr>
          <w:rFonts w:ascii="Arial" w:hAnsi="Arial" w:cs="Arial"/>
        </w:rPr>
        <w:t xml:space="preserve"> </w:t>
      </w:r>
      <w:r w:rsidR="00AE6A44">
        <w:rPr>
          <w:rFonts w:ascii="Arial" w:hAnsi="Arial" w:cs="Arial"/>
        </w:rPr>
        <w:t>with</w:t>
      </w:r>
      <w:r w:rsidRPr="00223012">
        <w:rPr>
          <w:rFonts w:ascii="Arial" w:hAnsi="Arial" w:cs="Arial"/>
        </w:rPr>
        <w:t xml:space="preserve"> colleagues at BSOL report the vast majority of those who contact for the purpose of an opt out</w:t>
      </w:r>
      <w:r>
        <w:rPr>
          <w:rFonts w:ascii="Arial" w:hAnsi="Arial" w:cs="Arial"/>
        </w:rPr>
        <w:t xml:space="preserve"> or objection</w:t>
      </w:r>
      <w:r w:rsidRPr="00223012">
        <w:rPr>
          <w:rFonts w:ascii="Arial" w:hAnsi="Arial" w:cs="Arial"/>
        </w:rPr>
        <w:t xml:space="preserve"> subsequently change their mind once they have the concept</w:t>
      </w:r>
      <w:r w:rsidRPr="00A100FD">
        <w:rPr>
          <w:rFonts w:ascii="Arial" w:hAnsi="Arial" w:cs="Arial"/>
        </w:rPr>
        <w:t xml:space="preserve"> of a </w:t>
      </w:r>
      <w:proofErr w:type="spellStart"/>
      <w:r w:rsidRPr="00A100FD">
        <w:rPr>
          <w:rFonts w:ascii="Arial" w:hAnsi="Arial" w:cs="Arial"/>
        </w:rPr>
        <w:t>ShCR</w:t>
      </w:r>
      <w:proofErr w:type="spellEnd"/>
      <w:r w:rsidRPr="00A100FD">
        <w:rPr>
          <w:rFonts w:ascii="Arial" w:hAnsi="Arial" w:cs="Arial"/>
        </w:rPr>
        <w:t xml:space="preserve"> explained. The ICB will contact practices directly to apply any opt outs that patients still wish to apply as the coding can only be done at the primary care source system</w:t>
      </w:r>
      <w:r>
        <w:rPr>
          <w:rFonts w:ascii="Arial" w:hAnsi="Arial" w:cs="Arial"/>
        </w:rPr>
        <w:t xml:space="preserve"> using a</w:t>
      </w:r>
      <w:r w:rsidR="005A1FBF" w:rsidRPr="00223012">
        <w:rPr>
          <w:rFonts w:ascii="Arial" w:hAnsi="Arial" w:cs="Arial"/>
        </w:rPr>
        <w:t xml:space="preserve"> </w:t>
      </w:r>
      <w:r>
        <w:rPr>
          <w:rFonts w:ascii="Arial" w:hAnsi="Arial" w:cs="Arial"/>
        </w:rPr>
        <w:t xml:space="preserve">Shared Care Record </w:t>
      </w:r>
      <w:r w:rsidR="005A1FBF" w:rsidRPr="00223012">
        <w:rPr>
          <w:rFonts w:ascii="Arial" w:hAnsi="Arial" w:cs="Arial"/>
        </w:rPr>
        <w:t>specific opt out code</w:t>
      </w:r>
      <w:r>
        <w:rPr>
          <w:rFonts w:ascii="Arial" w:hAnsi="Arial" w:cs="Arial"/>
        </w:rPr>
        <w:t>.</w:t>
      </w:r>
      <w:r w:rsidR="005A1FBF" w:rsidRPr="00223012">
        <w:rPr>
          <w:rFonts w:ascii="Arial" w:hAnsi="Arial" w:cs="Arial"/>
        </w:rPr>
        <w:t xml:space="preserve"> If a patient has a national opt out registered</w:t>
      </w:r>
      <w:r w:rsidR="00223012">
        <w:rPr>
          <w:rFonts w:ascii="Arial" w:hAnsi="Arial" w:cs="Arial"/>
        </w:rPr>
        <w:t>,</w:t>
      </w:r>
      <w:r w:rsidR="005A1FBF" w:rsidRPr="00223012">
        <w:rPr>
          <w:rFonts w:ascii="Arial" w:hAnsi="Arial" w:cs="Arial"/>
        </w:rPr>
        <w:t xml:space="preserve"> their data will automatically be excluded from</w:t>
      </w:r>
      <w:r>
        <w:rPr>
          <w:rFonts w:ascii="Arial" w:hAnsi="Arial" w:cs="Arial"/>
        </w:rPr>
        <w:t xml:space="preserve"> OHC Population Health Management (PHM) and no local opt out codes would need to be added</w:t>
      </w:r>
      <w:r w:rsidR="005A1FBF" w:rsidRPr="00223012">
        <w:rPr>
          <w:rFonts w:ascii="Arial" w:hAnsi="Arial" w:cs="Arial"/>
        </w:rPr>
        <w:t xml:space="preserve">. </w:t>
      </w:r>
      <w:commentRangeEnd w:id="5"/>
      <w:r w:rsidR="00223012" w:rsidRPr="00223012">
        <w:rPr>
          <w:rStyle w:val="CommentReference"/>
          <w:rFonts w:ascii="Arial" w:hAnsi="Arial" w:cs="Arial"/>
          <w:sz w:val="22"/>
          <w:szCs w:val="22"/>
        </w:rPr>
        <w:commentReference w:id="5"/>
      </w:r>
    </w:p>
    <w:p w14:paraId="0A6CCEBC" w14:textId="349D8473" w:rsidR="005A1FBF" w:rsidRPr="00223012" w:rsidRDefault="005A1FBF" w:rsidP="009E136C">
      <w:pPr>
        <w:pStyle w:val="Heading2"/>
        <w:rPr>
          <w:rFonts w:ascii="Arial" w:hAnsi="Arial" w:cs="Arial"/>
        </w:rPr>
      </w:pPr>
      <w:r w:rsidRPr="00223012">
        <w:rPr>
          <w:rFonts w:ascii="Arial" w:hAnsi="Arial" w:cs="Arial"/>
        </w:rPr>
        <w:lastRenderedPageBreak/>
        <w:t>What will patients be told?</w:t>
      </w:r>
    </w:p>
    <w:p w14:paraId="3DBE5454" w14:textId="77777777" w:rsidR="005A1FBF" w:rsidRPr="00223012" w:rsidRDefault="005A1FBF" w:rsidP="005A1FBF">
      <w:pPr>
        <w:rPr>
          <w:rFonts w:ascii="Arial" w:hAnsi="Arial" w:cs="Arial"/>
        </w:rPr>
      </w:pPr>
      <w:r w:rsidRPr="00223012">
        <w:rPr>
          <w:rFonts w:ascii="Arial" w:hAnsi="Arial" w:cs="Arial"/>
        </w:rPr>
        <w:t>A refreshed campaign for communication has been planned by the ICB. Links to the below schemes detail what patients are being told about how their data is being used in connection with the shared care records program and how this extends to PHM.</w:t>
      </w:r>
    </w:p>
    <w:p w14:paraId="5400BD07" w14:textId="24E5206D" w:rsidR="005A1FBF" w:rsidRPr="00223012" w:rsidRDefault="005A1FBF" w:rsidP="005A1FBF">
      <w:pPr>
        <w:rPr>
          <w:rFonts w:ascii="Arial" w:hAnsi="Arial" w:cs="Arial"/>
        </w:rPr>
      </w:pPr>
      <w:hyperlink r:id="rId10" w:history="1">
        <w:r w:rsidRPr="00223012">
          <w:rPr>
            <w:rStyle w:val="Hyperlink"/>
            <w:rFonts w:ascii="Arial" w:hAnsi="Arial" w:cs="Arial"/>
          </w:rPr>
          <w:t xml:space="preserve">One Health and Care: Fair processing </w:t>
        </w:r>
        <w:proofErr w:type="gramStart"/>
        <w:r w:rsidRPr="00223012">
          <w:rPr>
            <w:rStyle w:val="Hyperlink"/>
            <w:rFonts w:ascii="Arial" w:hAnsi="Arial" w:cs="Arial"/>
          </w:rPr>
          <w:t>notice :</w:t>
        </w:r>
        <w:proofErr w:type="gramEnd"/>
        <w:r w:rsidRPr="00223012">
          <w:rPr>
            <w:rStyle w:val="Hyperlink"/>
            <w:rFonts w:ascii="Arial" w:hAnsi="Arial" w:cs="Arial"/>
          </w:rPr>
          <w:t>: Black Country ICS</w:t>
        </w:r>
      </w:hyperlink>
    </w:p>
    <w:p w14:paraId="024CB592" w14:textId="77777777" w:rsidR="005A1FBF" w:rsidRPr="005A5C90" w:rsidRDefault="005A1FBF" w:rsidP="009E136C">
      <w:pPr>
        <w:pStyle w:val="Heading2"/>
        <w:rPr>
          <w:rFonts w:ascii="Arial" w:hAnsi="Arial" w:cs="Arial"/>
        </w:rPr>
      </w:pPr>
      <w:r w:rsidRPr="005A5C90">
        <w:rPr>
          <w:rFonts w:ascii="Arial" w:hAnsi="Arial" w:cs="Arial"/>
        </w:rPr>
        <w:t>What do I need to do?</w:t>
      </w:r>
    </w:p>
    <w:p w14:paraId="7ED17904" w14:textId="533133EA" w:rsidR="005A1FBF" w:rsidRPr="005A5C90" w:rsidRDefault="005A1FBF" w:rsidP="005A1FBF">
      <w:pPr>
        <w:rPr>
          <w:rFonts w:ascii="Arial" w:hAnsi="Arial" w:cs="Arial"/>
        </w:rPr>
      </w:pPr>
      <w:r w:rsidRPr="005A5C90">
        <w:rPr>
          <w:rFonts w:ascii="Arial" w:hAnsi="Arial" w:cs="Arial"/>
        </w:rPr>
        <w:t>As well as signing the agreement</w:t>
      </w:r>
      <w:r w:rsidR="005A5C90">
        <w:rPr>
          <w:rFonts w:ascii="Arial" w:hAnsi="Arial" w:cs="Arial"/>
        </w:rPr>
        <w:t>,</w:t>
      </w:r>
      <w:r w:rsidRPr="005A5C90">
        <w:rPr>
          <w:rFonts w:ascii="Arial" w:hAnsi="Arial" w:cs="Arial"/>
        </w:rPr>
        <w:t xml:space="preserve"> you will need to ensure up to date information is provided to patients with regards to the above</w:t>
      </w:r>
      <w:r w:rsidR="005A5C90">
        <w:rPr>
          <w:rFonts w:ascii="Arial" w:hAnsi="Arial" w:cs="Arial"/>
        </w:rPr>
        <w:t>.</w:t>
      </w:r>
      <w:r w:rsidRPr="005A5C90">
        <w:rPr>
          <w:rFonts w:ascii="Arial" w:hAnsi="Arial" w:cs="Arial"/>
        </w:rPr>
        <w:t xml:space="preserve"> </w:t>
      </w:r>
      <w:r w:rsidR="005A5C90">
        <w:rPr>
          <w:rFonts w:ascii="Arial" w:hAnsi="Arial" w:cs="Arial"/>
        </w:rPr>
        <w:t>T</w:t>
      </w:r>
      <w:r w:rsidRPr="005A5C90">
        <w:rPr>
          <w:rFonts w:ascii="Arial" w:hAnsi="Arial" w:cs="Arial"/>
        </w:rPr>
        <w:t>he programme ha</w:t>
      </w:r>
      <w:r w:rsidR="005A5C90">
        <w:rPr>
          <w:rFonts w:ascii="Arial" w:hAnsi="Arial" w:cs="Arial"/>
        </w:rPr>
        <w:t>s</w:t>
      </w:r>
      <w:r w:rsidRPr="005A5C90">
        <w:rPr>
          <w:rFonts w:ascii="Arial" w:hAnsi="Arial" w:cs="Arial"/>
        </w:rPr>
        <w:t xml:space="preserve"> drafted communications material to which you can signpost from your website. You will also be required to record any registered opt outs. </w:t>
      </w:r>
    </w:p>
    <w:p w14:paraId="451C85F7" w14:textId="73DB2C1D" w:rsidR="005A1FBF" w:rsidRDefault="005A1FBF" w:rsidP="009E136C">
      <w:pPr>
        <w:pStyle w:val="Heading2"/>
        <w:rPr>
          <w:rFonts w:ascii="Arial" w:hAnsi="Arial" w:cs="Arial"/>
        </w:rPr>
      </w:pPr>
      <w:r w:rsidRPr="005A5C90">
        <w:rPr>
          <w:rFonts w:ascii="Arial" w:hAnsi="Arial" w:cs="Arial"/>
        </w:rPr>
        <w:t>What about research</w:t>
      </w:r>
      <w:r w:rsidR="00536B6E">
        <w:rPr>
          <w:rFonts w:ascii="Arial" w:hAnsi="Arial" w:cs="Arial"/>
        </w:rPr>
        <w:t>?</w:t>
      </w:r>
      <w:r w:rsidRPr="005A5C90">
        <w:rPr>
          <w:rFonts w:ascii="Arial" w:hAnsi="Arial" w:cs="Arial"/>
        </w:rPr>
        <w:t xml:space="preserve"> </w:t>
      </w:r>
    </w:p>
    <w:p w14:paraId="757AD711" w14:textId="00F3490E" w:rsidR="005A1FBF" w:rsidRPr="005A5C90" w:rsidRDefault="005A1FBF" w:rsidP="005A1FBF">
      <w:pPr>
        <w:rPr>
          <w:rFonts w:ascii="Arial" w:hAnsi="Arial" w:cs="Arial"/>
        </w:rPr>
      </w:pPr>
      <w:r w:rsidRPr="005A5C90">
        <w:rPr>
          <w:rFonts w:ascii="Arial" w:hAnsi="Arial" w:cs="Arial"/>
        </w:rPr>
        <w:t>The current proposals do not include uses for research</w:t>
      </w:r>
      <w:r w:rsidR="00287615" w:rsidRPr="005A5C90">
        <w:rPr>
          <w:rFonts w:ascii="Arial" w:hAnsi="Arial" w:cs="Arial"/>
        </w:rPr>
        <w:t xml:space="preserve">, nor does the shared Data Sharing Agreement allow for the inclusion of any research activities. Any </w:t>
      </w:r>
      <w:r w:rsidR="005A5C90">
        <w:rPr>
          <w:rFonts w:ascii="Arial" w:hAnsi="Arial" w:cs="Arial"/>
        </w:rPr>
        <w:t>r</w:t>
      </w:r>
      <w:r w:rsidR="00287615" w:rsidRPr="005A5C90">
        <w:rPr>
          <w:rFonts w:ascii="Arial" w:hAnsi="Arial" w:cs="Arial"/>
        </w:rPr>
        <w:t>esearch activities would require additional Data Sharing Agreements and Data Privacy Impact Assessments be completed, work that is not currently planned or projected</w:t>
      </w:r>
      <w:r w:rsidRPr="005A5C90">
        <w:rPr>
          <w:rFonts w:ascii="Arial" w:hAnsi="Arial" w:cs="Arial"/>
        </w:rPr>
        <w:t xml:space="preserve">. </w:t>
      </w:r>
    </w:p>
    <w:p w14:paraId="4FCC18CB" w14:textId="68F53B1E" w:rsidR="00536B6E" w:rsidRDefault="00536B6E" w:rsidP="009E136C">
      <w:pPr>
        <w:pStyle w:val="Heading2"/>
        <w:rPr>
          <w:rFonts w:ascii="Arial" w:hAnsi="Arial" w:cs="Arial"/>
        </w:rPr>
      </w:pPr>
      <w:r>
        <w:rPr>
          <w:rFonts w:ascii="Arial" w:hAnsi="Arial" w:cs="Arial"/>
        </w:rPr>
        <w:t>What about</w:t>
      </w:r>
      <w:r w:rsidRPr="00536B6E">
        <w:rPr>
          <w:rFonts w:ascii="Arial" w:hAnsi="Arial" w:cs="Arial"/>
        </w:rPr>
        <w:t xml:space="preserve"> Integrated Neighbourhood Teams (INT)?</w:t>
      </w:r>
    </w:p>
    <w:p w14:paraId="50B3136B" w14:textId="255E505F" w:rsidR="00536B6E" w:rsidRPr="005A5C90" w:rsidRDefault="00536B6E" w:rsidP="00536B6E">
      <w:pPr>
        <w:rPr>
          <w:rFonts w:ascii="Arial" w:hAnsi="Arial" w:cs="Arial"/>
        </w:rPr>
      </w:pPr>
      <w:r w:rsidRPr="005A5C90">
        <w:rPr>
          <w:rFonts w:ascii="Arial" w:hAnsi="Arial" w:cs="Arial"/>
        </w:rPr>
        <w:t>The governance around INT</w:t>
      </w:r>
      <w:r>
        <w:rPr>
          <w:rFonts w:ascii="Arial" w:hAnsi="Arial" w:cs="Arial"/>
        </w:rPr>
        <w:t>s</w:t>
      </w:r>
      <w:r w:rsidRPr="005A5C90">
        <w:rPr>
          <w:rFonts w:ascii="Arial" w:hAnsi="Arial" w:cs="Arial"/>
        </w:rPr>
        <w:t xml:space="preserve"> is not included in this approach and it is not included in the materials go</w:t>
      </w:r>
      <w:r w:rsidR="00227918">
        <w:rPr>
          <w:rFonts w:ascii="Arial" w:hAnsi="Arial" w:cs="Arial"/>
        </w:rPr>
        <w:t>ing</w:t>
      </w:r>
      <w:r w:rsidRPr="005A5C90">
        <w:rPr>
          <w:rFonts w:ascii="Arial" w:hAnsi="Arial" w:cs="Arial"/>
        </w:rPr>
        <w:t xml:space="preserve"> out to patients</w:t>
      </w:r>
      <w:r w:rsidR="004839C1">
        <w:rPr>
          <w:rFonts w:ascii="Arial" w:hAnsi="Arial" w:cs="Arial"/>
        </w:rPr>
        <w:t xml:space="preserve"> i.e. </w:t>
      </w:r>
      <w:r w:rsidR="004839C1" w:rsidRPr="004839C1">
        <w:rPr>
          <w:rFonts w:ascii="Arial" w:hAnsi="Arial" w:cs="Arial"/>
        </w:rPr>
        <w:t>INT data sharing requirements are</w:t>
      </w:r>
      <w:r w:rsidR="004839C1">
        <w:rPr>
          <w:rFonts w:ascii="Arial" w:hAnsi="Arial" w:cs="Arial"/>
        </w:rPr>
        <w:t xml:space="preserve"> </w:t>
      </w:r>
      <w:r w:rsidR="004839C1" w:rsidRPr="004839C1">
        <w:rPr>
          <w:rFonts w:ascii="Arial" w:hAnsi="Arial" w:cs="Arial"/>
        </w:rPr>
        <w:t>n</w:t>
      </w:r>
      <w:r w:rsidR="004839C1">
        <w:rPr>
          <w:rFonts w:ascii="Arial" w:hAnsi="Arial" w:cs="Arial"/>
        </w:rPr>
        <w:t>o</w:t>
      </w:r>
      <w:r w:rsidR="004839C1" w:rsidRPr="004839C1">
        <w:rPr>
          <w:rFonts w:ascii="Arial" w:hAnsi="Arial" w:cs="Arial"/>
        </w:rPr>
        <w:t xml:space="preserve">t covered by this s251 </w:t>
      </w:r>
      <w:r w:rsidR="004839C1">
        <w:rPr>
          <w:rFonts w:ascii="Arial" w:hAnsi="Arial" w:cs="Arial"/>
        </w:rPr>
        <w:t>and</w:t>
      </w:r>
      <w:r w:rsidR="004839C1" w:rsidRPr="004839C1">
        <w:rPr>
          <w:rFonts w:ascii="Arial" w:hAnsi="Arial" w:cs="Arial"/>
        </w:rPr>
        <w:t xml:space="preserve"> data sharing agreement</w:t>
      </w:r>
      <w:r w:rsidR="00227918">
        <w:rPr>
          <w:rFonts w:ascii="Arial" w:hAnsi="Arial" w:cs="Arial"/>
        </w:rPr>
        <w:t>.</w:t>
      </w:r>
    </w:p>
    <w:p w14:paraId="0499A06A" w14:textId="63E0108A" w:rsidR="005A1FBF" w:rsidRPr="005A5C90" w:rsidRDefault="005A1FBF" w:rsidP="009E136C">
      <w:pPr>
        <w:pStyle w:val="Heading2"/>
        <w:rPr>
          <w:rFonts w:ascii="Arial" w:hAnsi="Arial" w:cs="Arial"/>
        </w:rPr>
      </w:pPr>
      <w:r w:rsidRPr="005A5C90">
        <w:rPr>
          <w:rFonts w:ascii="Arial" w:hAnsi="Arial" w:cs="Arial"/>
        </w:rPr>
        <w:t>What is my liability?</w:t>
      </w:r>
    </w:p>
    <w:p w14:paraId="2EEC2596" w14:textId="24A1453E" w:rsidR="00550490" w:rsidRPr="005A5C90" w:rsidRDefault="001B0D82" w:rsidP="009E136C">
      <w:pPr>
        <w:rPr>
          <w:rFonts w:ascii="Arial" w:hAnsi="Arial" w:cs="Arial"/>
        </w:rPr>
      </w:pPr>
      <w:r>
        <w:rPr>
          <w:rFonts w:ascii="Arial" w:hAnsi="Arial" w:cs="Arial"/>
        </w:rPr>
        <w:t>E</w:t>
      </w:r>
      <w:r w:rsidR="005A1FBF" w:rsidRPr="005A5C90">
        <w:rPr>
          <w:rFonts w:ascii="Arial" w:hAnsi="Arial" w:cs="Arial"/>
        </w:rPr>
        <w:t xml:space="preserve">ach data controller retains responsibility for the integrity of their data and the appropriate use of the system by their staff. </w:t>
      </w:r>
      <w:commentRangeStart w:id="6"/>
      <w:r w:rsidR="005A1FBF" w:rsidRPr="005A5C90">
        <w:rPr>
          <w:rFonts w:ascii="Arial" w:hAnsi="Arial" w:cs="Arial"/>
        </w:rPr>
        <w:t xml:space="preserve">The robust governance and oversight by the OHC </w:t>
      </w:r>
      <w:r>
        <w:rPr>
          <w:rFonts w:ascii="Arial" w:hAnsi="Arial" w:cs="Arial"/>
        </w:rPr>
        <w:t>Information Governance Advisory Group (IGAG)</w:t>
      </w:r>
      <w:r w:rsidR="005A1FBF" w:rsidRPr="005A5C90">
        <w:rPr>
          <w:rFonts w:ascii="Arial" w:hAnsi="Arial" w:cs="Arial"/>
        </w:rPr>
        <w:t xml:space="preserve"> will ensure the </w:t>
      </w:r>
      <w:r>
        <w:rPr>
          <w:rFonts w:ascii="Arial" w:hAnsi="Arial" w:cs="Arial"/>
        </w:rPr>
        <w:t xml:space="preserve">IG </w:t>
      </w:r>
      <w:r w:rsidR="005A1FBF" w:rsidRPr="005A5C90">
        <w:rPr>
          <w:rFonts w:ascii="Arial" w:hAnsi="Arial" w:cs="Arial"/>
        </w:rPr>
        <w:t>framework is being utilis</w:t>
      </w:r>
      <w:r>
        <w:rPr>
          <w:rFonts w:ascii="Arial" w:hAnsi="Arial" w:cs="Arial"/>
        </w:rPr>
        <w:t>ed appropriately across the One Health and Care footprint, with regular reporting into each ICS and ICB Digital Board</w:t>
      </w:r>
      <w:r w:rsidR="005A1FBF" w:rsidRPr="005A5C90">
        <w:rPr>
          <w:rFonts w:ascii="Arial" w:hAnsi="Arial" w:cs="Arial"/>
        </w:rPr>
        <w:t>.  </w:t>
      </w:r>
      <w:commentRangeEnd w:id="6"/>
      <w:r w:rsidR="005A5C90" w:rsidRPr="005A5C90">
        <w:rPr>
          <w:rStyle w:val="CommentReference"/>
          <w:rFonts w:ascii="Arial" w:hAnsi="Arial" w:cs="Arial"/>
          <w:sz w:val="22"/>
          <w:szCs w:val="22"/>
        </w:rPr>
        <w:commentReference w:id="6"/>
      </w:r>
      <w:r w:rsidR="005A1FBF" w:rsidRPr="005A5C90">
        <w:rPr>
          <w:rFonts w:ascii="Arial" w:hAnsi="Arial" w:cs="Arial"/>
        </w:rPr>
        <w:t xml:space="preserve">This does not transfer liability, and each partner will be responsible for their own acts or omissions, as is the case in the existing arrangements. If any organisation wishes for further information about liability, it is advised they seek their own legal advice, as this sits outside of the </w:t>
      </w:r>
      <w:r w:rsidR="005A5C90">
        <w:rPr>
          <w:rFonts w:ascii="Arial" w:hAnsi="Arial" w:cs="Arial"/>
        </w:rPr>
        <w:t>i</w:t>
      </w:r>
      <w:r w:rsidR="005A1FBF" w:rsidRPr="005A5C90">
        <w:rPr>
          <w:rFonts w:ascii="Arial" w:hAnsi="Arial" w:cs="Arial"/>
        </w:rPr>
        <w:t xml:space="preserve">nformation </w:t>
      </w:r>
      <w:r w:rsidR="005A5C90">
        <w:rPr>
          <w:rFonts w:ascii="Arial" w:hAnsi="Arial" w:cs="Arial"/>
        </w:rPr>
        <w:t>g</w:t>
      </w:r>
      <w:r w:rsidR="005A1FBF" w:rsidRPr="005A5C90">
        <w:rPr>
          <w:rFonts w:ascii="Arial" w:hAnsi="Arial" w:cs="Arial"/>
        </w:rPr>
        <w:t xml:space="preserve">overnance remit.  </w:t>
      </w:r>
    </w:p>
    <w:p w14:paraId="5B84A48C" w14:textId="4D1E95DE" w:rsidR="00550490" w:rsidRPr="005A5C90" w:rsidRDefault="00317020" w:rsidP="009E136C">
      <w:pPr>
        <w:pStyle w:val="Heading2"/>
        <w:rPr>
          <w:rFonts w:ascii="Arial" w:hAnsi="Arial" w:cs="Arial"/>
        </w:rPr>
      </w:pPr>
      <w:r w:rsidRPr="005A5C90">
        <w:rPr>
          <w:rFonts w:ascii="Arial" w:hAnsi="Arial" w:cs="Arial"/>
        </w:rPr>
        <w:t>Why am I being asked to sign the documents when the s251 is not yet in place?</w:t>
      </w:r>
    </w:p>
    <w:p w14:paraId="3E5CC0F3" w14:textId="75B8CDB6" w:rsidR="00287615" w:rsidRPr="005A5C90" w:rsidRDefault="00287615" w:rsidP="00287615">
      <w:pPr>
        <w:rPr>
          <w:rFonts w:ascii="Arial" w:hAnsi="Arial" w:cs="Arial"/>
        </w:rPr>
      </w:pPr>
      <w:r w:rsidRPr="005A5C90">
        <w:rPr>
          <w:rFonts w:ascii="Arial" w:hAnsi="Arial" w:cs="Arial"/>
        </w:rPr>
        <w:t xml:space="preserve">The updated Data Sharing </w:t>
      </w:r>
      <w:r w:rsidR="00985AEA" w:rsidRPr="005A5C90">
        <w:rPr>
          <w:rFonts w:ascii="Arial" w:hAnsi="Arial" w:cs="Arial"/>
        </w:rPr>
        <w:t>Agreement and</w:t>
      </w:r>
      <w:r w:rsidRPr="005A5C90">
        <w:rPr>
          <w:rFonts w:ascii="Arial" w:hAnsi="Arial" w:cs="Arial"/>
        </w:rPr>
        <w:t xml:space="preserve"> associated direct care Data Privacy Impact Assessment have been updated to provide clearer controls and governance around the use and sharing of patient data, and to include additional provider organisations who were not in scope of the initial agreements. These documents provide more structure than the versions in use since the initial deployment of the OHC platform. Provisional approval has been provided by the Confidentiality Advisory Group on the OHC </w:t>
      </w:r>
      <w:r w:rsidR="005A5C90">
        <w:rPr>
          <w:rFonts w:ascii="Arial" w:hAnsi="Arial" w:cs="Arial"/>
        </w:rPr>
        <w:t>s</w:t>
      </w:r>
      <w:r w:rsidRPr="005A5C90">
        <w:rPr>
          <w:rFonts w:ascii="Arial" w:hAnsi="Arial" w:cs="Arial"/>
        </w:rPr>
        <w:t xml:space="preserve">ection 251 application submitted at the end of 2025. The submission of the </w:t>
      </w:r>
      <w:r w:rsidR="005A5C90">
        <w:rPr>
          <w:rFonts w:ascii="Arial" w:hAnsi="Arial" w:cs="Arial"/>
        </w:rPr>
        <w:t>s</w:t>
      </w:r>
      <w:r w:rsidRPr="005A5C90">
        <w:rPr>
          <w:rFonts w:ascii="Arial" w:hAnsi="Arial" w:cs="Arial"/>
        </w:rPr>
        <w:t>ection 251 concurrent to the release of the DSA and secondary use DPIA allows us to demonstrate to the Confidentiality Advisory Group the level of detail of our documentation to enable their informed decision making. No secondary uses of data will be initiated until all providers have returned their DSA.</w:t>
      </w:r>
    </w:p>
    <w:p w14:paraId="451A96F1" w14:textId="7A3241D1" w:rsidR="00287615" w:rsidRPr="005A5C90" w:rsidRDefault="00287615" w:rsidP="009E136C">
      <w:pPr>
        <w:pStyle w:val="Heading2"/>
        <w:rPr>
          <w:rFonts w:ascii="Arial" w:hAnsi="Arial" w:cs="Arial"/>
        </w:rPr>
      </w:pPr>
      <w:r w:rsidRPr="005A5C90">
        <w:rPr>
          <w:rFonts w:ascii="Arial" w:hAnsi="Arial" w:cs="Arial"/>
        </w:rPr>
        <w:lastRenderedPageBreak/>
        <w:t>With potentially 600 organisations putting information into GP records</w:t>
      </w:r>
      <w:r w:rsidR="005A5C90">
        <w:rPr>
          <w:rFonts w:ascii="Arial" w:hAnsi="Arial" w:cs="Arial"/>
        </w:rPr>
        <w:t>,</w:t>
      </w:r>
      <w:r w:rsidRPr="005A5C90">
        <w:rPr>
          <w:rFonts w:ascii="Arial" w:hAnsi="Arial" w:cs="Arial"/>
        </w:rPr>
        <w:t xml:space="preserve"> who is responsible if incorrect data is input and what assurance is that there regarding how any wrong data is corrected?</w:t>
      </w:r>
    </w:p>
    <w:p w14:paraId="40F9ED16" w14:textId="2960F7C8" w:rsidR="00287615" w:rsidRPr="005A5C90" w:rsidRDefault="00287615" w:rsidP="00287615">
      <w:pPr>
        <w:rPr>
          <w:rFonts w:ascii="Arial" w:hAnsi="Arial" w:cs="Arial"/>
          <w:color w:val="000000" w:themeColor="text1"/>
        </w:rPr>
      </w:pPr>
      <w:r w:rsidRPr="005A5C90">
        <w:rPr>
          <w:rFonts w:ascii="Arial" w:hAnsi="Arial" w:cs="Arial"/>
          <w:color w:val="000000" w:themeColor="text1"/>
        </w:rPr>
        <w:t xml:space="preserve">A SOP has been developed to enable any identified incorrect data to be rectified. Users who have identified an error or discrepancy are directed to raise this issue via the service desk who will contact the appropriate organisation to advise them of the issue identified. The service desk will coordinate the reconciliation of any inaccurate data, including </w:t>
      </w:r>
      <w:proofErr w:type="spellStart"/>
      <w:r w:rsidRPr="005A5C90">
        <w:rPr>
          <w:rFonts w:ascii="Arial" w:hAnsi="Arial" w:cs="Arial"/>
          <w:color w:val="000000" w:themeColor="text1"/>
        </w:rPr>
        <w:t>Graphnet</w:t>
      </w:r>
      <w:proofErr w:type="spellEnd"/>
      <w:r w:rsidRPr="005A5C90">
        <w:rPr>
          <w:rFonts w:ascii="Arial" w:hAnsi="Arial" w:cs="Arial"/>
          <w:color w:val="000000" w:themeColor="text1"/>
        </w:rPr>
        <w:t xml:space="preserve"> in cases where large volumes of data are incorrect and require bulk resolution. All issues logged via the service desk are auditable and include when an issue was raised and resolved, and who was involved at each step.</w:t>
      </w:r>
    </w:p>
    <w:p w14:paraId="499BCADB" w14:textId="77777777" w:rsidR="00287615" w:rsidRPr="005A5C90" w:rsidRDefault="00287615" w:rsidP="009E136C">
      <w:pPr>
        <w:pStyle w:val="Heading2"/>
        <w:rPr>
          <w:rFonts w:ascii="Arial" w:hAnsi="Arial" w:cs="Arial"/>
        </w:rPr>
      </w:pPr>
      <w:r w:rsidRPr="005A5C90">
        <w:rPr>
          <w:rFonts w:ascii="Arial" w:hAnsi="Arial" w:cs="Arial"/>
        </w:rPr>
        <w:t>What happens if the One Health and Care record is hacked -where does the liability for any data breaches sit?</w:t>
      </w:r>
    </w:p>
    <w:p w14:paraId="41E9B24F" w14:textId="1989029D" w:rsidR="00287615" w:rsidRPr="005A5C90" w:rsidRDefault="00287615" w:rsidP="00287615">
      <w:pPr>
        <w:rPr>
          <w:rFonts w:ascii="Arial" w:hAnsi="Arial" w:cs="Arial"/>
          <w:color w:val="000000" w:themeColor="text1"/>
        </w:rPr>
      </w:pPr>
      <w:r w:rsidRPr="005A5C90">
        <w:rPr>
          <w:rFonts w:ascii="Arial" w:hAnsi="Arial" w:cs="Arial"/>
          <w:color w:val="000000" w:themeColor="text1"/>
        </w:rPr>
        <w:t xml:space="preserve">The One Health and Care record system uses a cloud-based system, </w:t>
      </w:r>
      <w:proofErr w:type="spellStart"/>
      <w:r w:rsidRPr="005A5C90">
        <w:rPr>
          <w:rFonts w:ascii="Arial" w:hAnsi="Arial" w:cs="Arial"/>
          <w:color w:val="000000" w:themeColor="text1"/>
        </w:rPr>
        <w:t>CareCentric</w:t>
      </w:r>
      <w:proofErr w:type="spellEnd"/>
      <w:r w:rsidRPr="005A5C90">
        <w:rPr>
          <w:rFonts w:ascii="Arial" w:hAnsi="Arial" w:cs="Arial"/>
          <w:color w:val="000000" w:themeColor="text1"/>
        </w:rPr>
        <w:t xml:space="preserve">, supplied by a commercial supplier named </w:t>
      </w:r>
      <w:proofErr w:type="spellStart"/>
      <w:r w:rsidRPr="005A5C90">
        <w:rPr>
          <w:rFonts w:ascii="Arial" w:hAnsi="Arial" w:cs="Arial"/>
          <w:color w:val="000000" w:themeColor="text1"/>
        </w:rPr>
        <w:t>Graphnet</w:t>
      </w:r>
      <w:proofErr w:type="spellEnd"/>
      <w:r w:rsidRPr="005A5C90">
        <w:rPr>
          <w:rFonts w:ascii="Arial" w:hAnsi="Arial" w:cs="Arial"/>
          <w:color w:val="000000" w:themeColor="text1"/>
        </w:rPr>
        <w:t xml:space="preserve"> using UK-based Microsoft servers. Liability for any unauthorised access or extraction of data is dependent on the specific nature of the event, and a thorough investigation would be undertaken to understand how the data was accessed. The contracts held between the NHS and </w:t>
      </w:r>
      <w:proofErr w:type="spellStart"/>
      <w:r w:rsidRPr="005A5C90">
        <w:rPr>
          <w:rFonts w:ascii="Arial" w:hAnsi="Arial" w:cs="Arial"/>
          <w:color w:val="000000" w:themeColor="text1"/>
        </w:rPr>
        <w:t>Graphnet</w:t>
      </w:r>
      <w:proofErr w:type="spellEnd"/>
      <w:r w:rsidRPr="005A5C90">
        <w:rPr>
          <w:rFonts w:ascii="Arial" w:hAnsi="Arial" w:cs="Arial"/>
          <w:color w:val="000000" w:themeColor="text1"/>
        </w:rPr>
        <w:t xml:space="preserve">, and between </w:t>
      </w:r>
      <w:proofErr w:type="spellStart"/>
      <w:r w:rsidRPr="005A5C90">
        <w:rPr>
          <w:rFonts w:ascii="Arial" w:hAnsi="Arial" w:cs="Arial"/>
          <w:color w:val="000000" w:themeColor="text1"/>
        </w:rPr>
        <w:t>Graphnet</w:t>
      </w:r>
      <w:proofErr w:type="spellEnd"/>
      <w:r w:rsidRPr="005A5C90">
        <w:rPr>
          <w:rFonts w:ascii="Arial" w:hAnsi="Arial" w:cs="Arial"/>
          <w:color w:val="000000" w:themeColor="text1"/>
        </w:rPr>
        <w:t xml:space="preserve"> and Microsoft, include extensive detail on cybersecurity requirements. In the event of a technical attack on either the </w:t>
      </w:r>
      <w:proofErr w:type="spellStart"/>
      <w:r w:rsidRPr="005A5C90">
        <w:rPr>
          <w:rFonts w:ascii="Arial" w:hAnsi="Arial" w:cs="Arial"/>
          <w:color w:val="000000" w:themeColor="text1"/>
        </w:rPr>
        <w:t>Graphnet</w:t>
      </w:r>
      <w:proofErr w:type="spellEnd"/>
      <w:r w:rsidRPr="005A5C90">
        <w:rPr>
          <w:rFonts w:ascii="Arial" w:hAnsi="Arial" w:cs="Arial"/>
          <w:color w:val="000000" w:themeColor="text1"/>
        </w:rPr>
        <w:t xml:space="preserve"> or Microsoft infrastructure, liability would sit with any party who has fallen short in their delivery of a service against the cybersecurity and other technical requirements within service contracts. </w:t>
      </w:r>
    </w:p>
    <w:p w14:paraId="3B9E5B1F" w14:textId="77777777" w:rsidR="00287615" w:rsidRPr="00287615" w:rsidRDefault="00287615" w:rsidP="00287615"/>
    <w:p w14:paraId="6E1E27BE" w14:textId="77777777" w:rsidR="001D37A2" w:rsidRPr="001D37A2" w:rsidRDefault="001D37A2" w:rsidP="001D37A2">
      <w:pPr>
        <w:pStyle w:val="ListParagraph"/>
        <w:rPr>
          <w:i/>
          <w:iCs/>
        </w:rPr>
      </w:pPr>
    </w:p>
    <w:p w14:paraId="1CBF3342" w14:textId="77777777" w:rsidR="001D37A2" w:rsidRPr="001D37A2" w:rsidRDefault="001D37A2" w:rsidP="001D37A2">
      <w:pPr>
        <w:rPr>
          <w:i/>
          <w:iCs/>
        </w:rPr>
      </w:pPr>
    </w:p>
    <w:sectPr w:rsidR="001D37A2" w:rsidRPr="001D37A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LLAR, Emily (NHS BLACK COUNTRY ICB - D2P2L)" w:date="2026-01-15T08:52:00Z" w:initials="EP">
    <w:p w14:paraId="58805709" w14:textId="77777777" w:rsidR="00EB6D81" w:rsidRDefault="00EB6D81" w:rsidP="00EB6D81">
      <w:pPr>
        <w:pStyle w:val="CommentText"/>
      </w:pPr>
      <w:r>
        <w:rPr>
          <w:rStyle w:val="CommentReference"/>
        </w:rPr>
        <w:annotationRef/>
      </w:r>
      <w:r>
        <w:t>Please write out fully and put DSPT in brackets</w:t>
      </w:r>
    </w:p>
  </w:comment>
  <w:comment w:id="1" w:author="PILLAR, Emily (NHS BLACK COUNTRY ICB - D2P2L)" w:date="2026-01-15T08:51:00Z" w:initials="EP">
    <w:p w14:paraId="058DFFD7" w14:textId="561B6E12" w:rsidR="00EB6D81" w:rsidRDefault="00EB6D81" w:rsidP="00EB6D81">
      <w:pPr>
        <w:pStyle w:val="CommentText"/>
      </w:pPr>
      <w:r>
        <w:rPr>
          <w:rStyle w:val="CommentReference"/>
        </w:rPr>
        <w:annotationRef/>
      </w:r>
      <w:r>
        <w:t>Should this just be ‘will be’</w:t>
      </w:r>
    </w:p>
  </w:comment>
  <w:comment w:id="2" w:author="PILLAR, Emily (NHS BLACK COUNTRY ICB - D2P2L)" w:date="2026-01-15T08:53:00Z" w:initials="EP">
    <w:p w14:paraId="2E63FE6E" w14:textId="77777777" w:rsidR="00EB6D81" w:rsidRDefault="00EB6D81" w:rsidP="00EB6D81">
      <w:pPr>
        <w:pStyle w:val="CommentText"/>
      </w:pPr>
      <w:r>
        <w:rPr>
          <w:rStyle w:val="CommentReference"/>
        </w:rPr>
        <w:annotationRef/>
      </w:r>
      <w:r>
        <w:t>Write this out fully and put ADT in brackets</w:t>
      </w:r>
    </w:p>
  </w:comment>
  <w:comment w:id="3" w:author="PILLAR, Emily (NHS BLACK COUNTRY ICB - D2P2L)" w:date="2026-01-15T08:54:00Z" w:initials="EP">
    <w:p w14:paraId="408C2513" w14:textId="77777777" w:rsidR="0021518C" w:rsidRDefault="00EB6D81" w:rsidP="0021518C">
      <w:pPr>
        <w:pStyle w:val="CommentText"/>
      </w:pPr>
      <w:r>
        <w:rPr>
          <w:rStyle w:val="CommentReference"/>
        </w:rPr>
        <w:annotationRef/>
      </w:r>
      <w:r w:rsidR="0021518C">
        <w:t>Write this out fully and put ED in brackets - assume it’s Emergency Department</w:t>
      </w:r>
    </w:p>
  </w:comment>
  <w:comment w:id="4" w:author="PILLAR, Emily (NHS BLACK COUNTRY ICB - D2P2L)" w:date="2026-01-15T08:56:00Z" w:initials="EP">
    <w:p w14:paraId="242585E9" w14:textId="6A9D04B1" w:rsidR="00EB6D81" w:rsidRDefault="00EB6D81" w:rsidP="00EB6D81">
      <w:pPr>
        <w:pStyle w:val="CommentText"/>
      </w:pPr>
      <w:r>
        <w:rPr>
          <w:rStyle w:val="CommentReference"/>
        </w:rPr>
        <w:annotationRef/>
      </w:r>
      <w:r>
        <w:t>Write this out fully and put DPIA in brackets</w:t>
      </w:r>
    </w:p>
  </w:comment>
  <w:comment w:id="5" w:author="PILLAR, Emily (NHS BLACK COUNTRY ICB - D2P2L)" w:date="2026-01-15T09:19:00Z" w:initials="EP">
    <w:p w14:paraId="4E2C5F1C" w14:textId="77777777" w:rsidR="00223012" w:rsidRDefault="00223012" w:rsidP="00223012">
      <w:pPr>
        <w:pStyle w:val="CommentText"/>
      </w:pPr>
      <w:r>
        <w:rPr>
          <w:rStyle w:val="CommentReference"/>
        </w:rPr>
        <w:annotationRef/>
      </w:r>
      <w:r>
        <w:t>Some of the information in this needs to be combined with the same Q on page 2</w:t>
      </w:r>
    </w:p>
  </w:comment>
  <w:comment w:id="6" w:author="PILLAR, Emily (NHS BLACK COUNTRY ICB - D2P2L)" w:date="2026-01-15T09:23:00Z" w:initials="EP">
    <w:p w14:paraId="3068516F" w14:textId="77777777" w:rsidR="005A5C90" w:rsidRDefault="005A5C90" w:rsidP="005A5C90">
      <w:pPr>
        <w:pStyle w:val="CommentText"/>
      </w:pPr>
      <w:r>
        <w:rPr>
          <w:rStyle w:val="CommentReference"/>
        </w:rPr>
        <w:annotationRef/>
      </w:r>
      <w:r>
        <w:t>Mike flagged this as needing a reword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805709" w15:done="1"/>
  <w15:commentEx w15:paraId="058DFFD7" w15:done="1"/>
  <w15:commentEx w15:paraId="2E63FE6E" w15:done="1"/>
  <w15:commentEx w15:paraId="408C2513" w15:done="1"/>
  <w15:commentEx w15:paraId="242585E9" w15:done="1"/>
  <w15:commentEx w15:paraId="4E2C5F1C" w15:done="1"/>
  <w15:commentEx w15:paraId="306851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7C1F1" w16cex:dateUtc="2026-01-15T08:52:00Z"/>
  <w16cex:commentExtensible w16cex:durableId="6CB57113" w16cex:dateUtc="2026-01-15T08:51:00Z"/>
  <w16cex:commentExtensible w16cex:durableId="2857A1C8" w16cex:dateUtc="2026-01-15T08:53:00Z"/>
  <w16cex:commentExtensible w16cex:durableId="3F8DB72E" w16cex:dateUtc="2026-01-15T08:54:00Z"/>
  <w16cex:commentExtensible w16cex:durableId="0D925A21" w16cex:dateUtc="2026-01-15T08:56:00Z"/>
  <w16cex:commentExtensible w16cex:durableId="613DCCDC" w16cex:dateUtc="2026-01-15T09:19:00Z"/>
  <w16cex:commentExtensible w16cex:durableId="31CA6D63" w16cex:dateUtc="2026-01-15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805709" w16cid:durableId="40D7C1F1"/>
  <w16cid:commentId w16cid:paraId="058DFFD7" w16cid:durableId="6CB57113"/>
  <w16cid:commentId w16cid:paraId="2E63FE6E" w16cid:durableId="2857A1C8"/>
  <w16cid:commentId w16cid:paraId="408C2513" w16cid:durableId="3F8DB72E"/>
  <w16cid:commentId w16cid:paraId="242585E9" w16cid:durableId="0D925A21"/>
  <w16cid:commentId w16cid:paraId="4E2C5F1C" w16cid:durableId="613DCCDC"/>
  <w16cid:commentId w16cid:paraId="3068516F" w16cid:durableId="31CA6D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A5A"/>
    <w:multiLevelType w:val="hybridMultilevel"/>
    <w:tmpl w:val="BD0C0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246C1C"/>
    <w:multiLevelType w:val="hybridMultilevel"/>
    <w:tmpl w:val="88C69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585902">
    <w:abstractNumId w:val="0"/>
  </w:num>
  <w:num w:numId="2" w16cid:durableId="19503155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LLAR, Emily (NHS BLACK COUNTRY ICB - D2P2L)">
    <w15:presenceInfo w15:providerId="AD" w15:userId="S::emily.pillar@nhs.net::be71e114-e3c6-4947-bbd1-e5e48047e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F8"/>
    <w:rsid w:val="00003873"/>
    <w:rsid w:val="0001397E"/>
    <w:rsid w:val="00040530"/>
    <w:rsid w:val="000434DE"/>
    <w:rsid w:val="000D1335"/>
    <w:rsid w:val="0014706A"/>
    <w:rsid w:val="00151C85"/>
    <w:rsid w:val="001B0D82"/>
    <w:rsid w:val="001C012A"/>
    <w:rsid w:val="001D37A2"/>
    <w:rsid w:val="0020442C"/>
    <w:rsid w:val="0021174B"/>
    <w:rsid w:val="0021518C"/>
    <w:rsid w:val="00223012"/>
    <w:rsid w:val="00227918"/>
    <w:rsid w:val="00233072"/>
    <w:rsid w:val="00246D82"/>
    <w:rsid w:val="00287615"/>
    <w:rsid w:val="00294216"/>
    <w:rsid w:val="00317020"/>
    <w:rsid w:val="00357191"/>
    <w:rsid w:val="003633AC"/>
    <w:rsid w:val="003717AA"/>
    <w:rsid w:val="00376000"/>
    <w:rsid w:val="003A6890"/>
    <w:rsid w:val="004239C2"/>
    <w:rsid w:val="00472134"/>
    <w:rsid w:val="004839C1"/>
    <w:rsid w:val="004B3A9C"/>
    <w:rsid w:val="004B7E8B"/>
    <w:rsid w:val="00536B6E"/>
    <w:rsid w:val="00541EDA"/>
    <w:rsid w:val="00546AF8"/>
    <w:rsid w:val="00550490"/>
    <w:rsid w:val="005641B8"/>
    <w:rsid w:val="00567AB1"/>
    <w:rsid w:val="00582B79"/>
    <w:rsid w:val="005A1FBF"/>
    <w:rsid w:val="005A5C90"/>
    <w:rsid w:val="005F6BDA"/>
    <w:rsid w:val="00610354"/>
    <w:rsid w:val="00657099"/>
    <w:rsid w:val="00687372"/>
    <w:rsid w:val="006949B3"/>
    <w:rsid w:val="006B6D9A"/>
    <w:rsid w:val="006E68D7"/>
    <w:rsid w:val="006F649C"/>
    <w:rsid w:val="006F7AE9"/>
    <w:rsid w:val="007557DE"/>
    <w:rsid w:val="00756FB4"/>
    <w:rsid w:val="00813236"/>
    <w:rsid w:val="00853F3A"/>
    <w:rsid w:val="008669CD"/>
    <w:rsid w:val="008C4EBF"/>
    <w:rsid w:val="00901BBC"/>
    <w:rsid w:val="00985AEA"/>
    <w:rsid w:val="009E136C"/>
    <w:rsid w:val="00A100FD"/>
    <w:rsid w:val="00A94817"/>
    <w:rsid w:val="00AA4577"/>
    <w:rsid w:val="00AE6A44"/>
    <w:rsid w:val="00B0286A"/>
    <w:rsid w:val="00B10446"/>
    <w:rsid w:val="00B16740"/>
    <w:rsid w:val="00B20EA2"/>
    <w:rsid w:val="00B778D6"/>
    <w:rsid w:val="00B807C1"/>
    <w:rsid w:val="00C14C07"/>
    <w:rsid w:val="00CA367D"/>
    <w:rsid w:val="00CF761D"/>
    <w:rsid w:val="00D00C39"/>
    <w:rsid w:val="00D85042"/>
    <w:rsid w:val="00E41804"/>
    <w:rsid w:val="00E51287"/>
    <w:rsid w:val="00EA6146"/>
    <w:rsid w:val="00EB6D81"/>
    <w:rsid w:val="00EE13F4"/>
    <w:rsid w:val="00FE2FB6"/>
    <w:rsid w:val="00FE7821"/>
    <w:rsid w:val="00FF3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3F3B"/>
  <w15:chartTrackingRefBased/>
  <w15:docId w15:val="{56C6B8FC-1630-43B9-8674-644F866A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81"/>
  </w:style>
  <w:style w:type="paragraph" w:styleId="Heading1">
    <w:name w:val="heading 1"/>
    <w:basedOn w:val="Normal"/>
    <w:next w:val="Normal"/>
    <w:link w:val="Heading1Char"/>
    <w:uiPriority w:val="9"/>
    <w:qFormat/>
    <w:rsid w:val="00EB6D81"/>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B6D81"/>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D81"/>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D81"/>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EB6D81"/>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B6D81"/>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B6D81"/>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B6D81"/>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B6D81"/>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D81"/>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B6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D81"/>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D81"/>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B6D81"/>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B6D81"/>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B6D81"/>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B6D81"/>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B6D81"/>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EB6D81"/>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EB6D81"/>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B6D81"/>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B6D81"/>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EB6D81"/>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EB6D81"/>
    <w:rPr>
      <w:color w:val="0E2841" w:themeColor="text2"/>
      <w:sz w:val="24"/>
      <w:szCs w:val="24"/>
    </w:rPr>
  </w:style>
  <w:style w:type="paragraph" w:styleId="ListParagraph">
    <w:name w:val="List Paragraph"/>
    <w:basedOn w:val="Normal"/>
    <w:uiPriority w:val="34"/>
    <w:qFormat/>
    <w:rsid w:val="00546AF8"/>
    <w:pPr>
      <w:ind w:left="720"/>
      <w:contextualSpacing/>
    </w:pPr>
  </w:style>
  <w:style w:type="character" w:styleId="IntenseEmphasis">
    <w:name w:val="Intense Emphasis"/>
    <w:basedOn w:val="DefaultParagraphFont"/>
    <w:uiPriority w:val="21"/>
    <w:qFormat/>
    <w:rsid w:val="00EB6D81"/>
    <w:rPr>
      <w:b/>
      <w:bCs/>
      <w:i/>
      <w:iCs/>
    </w:rPr>
  </w:style>
  <w:style w:type="paragraph" w:styleId="IntenseQuote">
    <w:name w:val="Intense Quote"/>
    <w:basedOn w:val="Normal"/>
    <w:next w:val="Normal"/>
    <w:link w:val="IntenseQuoteChar"/>
    <w:uiPriority w:val="30"/>
    <w:qFormat/>
    <w:rsid w:val="00EB6D81"/>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B6D81"/>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EB6D81"/>
    <w:rPr>
      <w:b/>
      <w:bCs/>
      <w:smallCaps/>
      <w:color w:val="0E2841" w:themeColor="text2"/>
      <w:u w:val="single"/>
    </w:rPr>
  </w:style>
  <w:style w:type="character" w:styleId="Hyperlink">
    <w:name w:val="Hyperlink"/>
    <w:basedOn w:val="DefaultParagraphFont"/>
    <w:uiPriority w:val="99"/>
    <w:unhideWhenUsed/>
    <w:rsid w:val="005A1FBF"/>
    <w:rPr>
      <w:color w:val="467886" w:themeColor="hyperlink"/>
      <w:u w:val="single"/>
    </w:rPr>
  </w:style>
  <w:style w:type="character" w:styleId="UnresolvedMention">
    <w:name w:val="Unresolved Mention"/>
    <w:basedOn w:val="DefaultParagraphFont"/>
    <w:uiPriority w:val="99"/>
    <w:semiHidden/>
    <w:unhideWhenUsed/>
    <w:rsid w:val="005A1FBF"/>
    <w:rPr>
      <w:color w:val="605E5C"/>
      <w:shd w:val="clear" w:color="auto" w:fill="E1DFDD"/>
    </w:rPr>
  </w:style>
  <w:style w:type="character" w:styleId="FollowedHyperlink">
    <w:name w:val="FollowedHyperlink"/>
    <w:basedOn w:val="DefaultParagraphFont"/>
    <w:uiPriority w:val="99"/>
    <w:semiHidden/>
    <w:unhideWhenUsed/>
    <w:rsid w:val="00657099"/>
    <w:rPr>
      <w:color w:val="96607D" w:themeColor="followedHyperlink"/>
      <w:u w:val="single"/>
    </w:rPr>
  </w:style>
  <w:style w:type="table" w:styleId="TableGrid">
    <w:name w:val="Table Grid"/>
    <w:basedOn w:val="TableNormal"/>
    <w:uiPriority w:val="39"/>
    <w:rsid w:val="009E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6D81"/>
    <w:rPr>
      <w:sz w:val="16"/>
      <w:szCs w:val="16"/>
    </w:rPr>
  </w:style>
  <w:style w:type="paragraph" w:styleId="CommentText">
    <w:name w:val="annotation text"/>
    <w:basedOn w:val="Normal"/>
    <w:link w:val="CommentTextChar"/>
    <w:uiPriority w:val="99"/>
    <w:unhideWhenUsed/>
    <w:rsid w:val="00EB6D81"/>
    <w:pPr>
      <w:spacing w:line="240" w:lineRule="auto"/>
    </w:pPr>
    <w:rPr>
      <w:sz w:val="20"/>
      <w:szCs w:val="20"/>
    </w:rPr>
  </w:style>
  <w:style w:type="character" w:customStyle="1" w:styleId="CommentTextChar">
    <w:name w:val="Comment Text Char"/>
    <w:basedOn w:val="DefaultParagraphFont"/>
    <w:link w:val="CommentText"/>
    <w:uiPriority w:val="99"/>
    <w:rsid w:val="00EB6D81"/>
    <w:rPr>
      <w:sz w:val="20"/>
      <w:szCs w:val="20"/>
    </w:rPr>
  </w:style>
  <w:style w:type="paragraph" w:styleId="CommentSubject">
    <w:name w:val="annotation subject"/>
    <w:basedOn w:val="CommentText"/>
    <w:next w:val="CommentText"/>
    <w:link w:val="CommentSubjectChar"/>
    <w:uiPriority w:val="99"/>
    <w:semiHidden/>
    <w:unhideWhenUsed/>
    <w:rsid w:val="00EB6D81"/>
    <w:rPr>
      <w:b/>
      <w:bCs/>
    </w:rPr>
  </w:style>
  <w:style w:type="character" w:customStyle="1" w:styleId="CommentSubjectChar">
    <w:name w:val="Comment Subject Char"/>
    <w:basedOn w:val="CommentTextChar"/>
    <w:link w:val="CommentSubject"/>
    <w:uiPriority w:val="99"/>
    <w:semiHidden/>
    <w:rsid w:val="00EB6D81"/>
    <w:rPr>
      <w:b/>
      <w:bCs/>
      <w:sz w:val="20"/>
      <w:szCs w:val="20"/>
    </w:rPr>
  </w:style>
  <w:style w:type="paragraph" w:styleId="Caption">
    <w:name w:val="caption"/>
    <w:basedOn w:val="Normal"/>
    <w:next w:val="Normal"/>
    <w:uiPriority w:val="35"/>
    <w:semiHidden/>
    <w:unhideWhenUsed/>
    <w:qFormat/>
    <w:rsid w:val="00EB6D81"/>
    <w:pPr>
      <w:spacing w:line="240" w:lineRule="auto"/>
    </w:pPr>
    <w:rPr>
      <w:b/>
      <w:bCs/>
      <w:smallCaps/>
      <w:color w:val="0E2841" w:themeColor="text2"/>
    </w:rPr>
  </w:style>
  <w:style w:type="character" w:styleId="Strong">
    <w:name w:val="Strong"/>
    <w:basedOn w:val="DefaultParagraphFont"/>
    <w:uiPriority w:val="22"/>
    <w:qFormat/>
    <w:rsid w:val="00EB6D81"/>
    <w:rPr>
      <w:b/>
      <w:bCs/>
    </w:rPr>
  </w:style>
  <w:style w:type="character" w:styleId="Emphasis">
    <w:name w:val="Emphasis"/>
    <w:basedOn w:val="DefaultParagraphFont"/>
    <w:uiPriority w:val="20"/>
    <w:qFormat/>
    <w:rsid w:val="00EB6D81"/>
    <w:rPr>
      <w:i/>
      <w:iCs/>
    </w:rPr>
  </w:style>
  <w:style w:type="paragraph" w:styleId="NoSpacing">
    <w:name w:val="No Spacing"/>
    <w:uiPriority w:val="1"/>
    <w:qFormat/>
    <w:rsid w:val="00EB6D81"/>
    <w:pPr>
      <w:spacing w:after="0" w:line="240" w:lineRule="auto"/>
    </w:pPr>
  </w:style>
  <w:style w:type="character" w:styleId="SubtleEmphasis">
    <w:name w:val="Subtle Emphasis"/>
    <w:basedOn w:val="DefaultParagraphFont"/>
    <w:uiPriority w:val="19"/>
    <w:qFormat/>
    <w:rsid w:val="00EB6D81"/>
    <w:rPr>
      <w:i/>
      <w:iCs/>
      <w:color w:val="595959" w:themeColor="text1" w:themeTint="A6"/>
    </w:rPr>
  </w:style>
  <w:style w:type="character" w:styleId="SubtleReference">
    <w:name w:val="Subtle Reference"/>
    <w:basedOn w:val="DefaultParagraphFont"/>
    <w:uiPriority w:val="31"/>
    <w:qFormat/>
    <w:rsid w:val="00EB6D8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B6D81"/>
    <w:rPr>
      <w:b/>
      <w:bCs/>
      <w:smallCaps/>
      <w:spacing w:val="10"/>
    </w:rPr>
  </w:style>
  <w:style w:type="paragraph" w:styleId="TOCHeading">
    <w:name w:val="TOC Heading"/>
    <w:basedOn w:val="Heading1"/>
    <w:next w:val="Normal"/>
    <w:uiPriority w:val="39"/>
    <w:semiHidden/>
    <w:unhideWhenUsed/>
    <w:qFormat/>
    <w:rsid w:val="00EB6D81"/>
    <w:pPr>
      <w:outlineLvl w:val="9"/>
    </w:pPr>
  </w:style>
  <w:style w:type="paragraph" w:styleId="NormalWeb">
    <w:name w:val="Normal (Web)"/>
    <w:basedOn w:val="Normal"/>
    <w:uiPriority w:val="99"/>
    <w:unhideWhenUsed/>
    <w:rsid w:val="000405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mailto:bcicb.ohc-shcrprogramme@nhs.net" TargetMode="External"/><Relationship Id="rId10" Type="http://schemas.openxmlformats.org/officeDocument/2006/relationships/hyperlink" Target="https://gbr01.safelinks.protection.outlook.com/?url=https%3A%2F%2Fwww.one-health-care.co.uk%2Fone-health-care-fair-processing-notice&amp;data=05%7C02%7Cangela.poulton%40nhs.net%7C420ad5bbfbd845069bf808de2bffdf48%7C37c354b285b047f5b22207b48d774ee3%7C0%7C0%7C638996575118788381%7CUnknown%7CTWFpbGZsb3d8eyJFbXB0eU1hcGkiOnRydWUsIlYiOiIwLjAuMDAwMCIsIlAiOiJXaW4zMiIsIkFOIjoiTWFpbCIsIldUIjoyfQ%3D%3D%7C0%7C%7C%7C&amp;sdata=cEAi%2BfLAZvDTOkFExRIujj%2BNIiqxhtSE8cW%2FTOxaxY0%3D&amp;reserved=0"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POULTON, Angela (NHS BLACK COUNTRY ICB - D2P2L)</dc:creator>
  <cp:keywords/>
  <dc:description/>
  <cp:lastModifiedBy>tim horsburgh</cp:lastModifiedBy>
  <cp:revision>2</cp:revision>
  <dcterms:created xsi:type="dcterms:W3CDTF">2026-01-19T10:00:00Z</dcterms:created>
  <dcterms:modified xsi:type="dcterms:W3CDTF">2026-01-19T10:00:00Z</dcterms:modified>
</cp:coreProperties>
</file>