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FE19" w14:textId="77777777" w:rsidR="0082326F" w:rsidRPr="0082326F" w:rsidRDefault="0082326F" w:rsidP="0082326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82326F">
        <w:rPr>
          <w:rFonts w:ascii="Times New Roman" w:eastAsia="Times New Roman" w:hAnsi="Times New Roman" w:cs="Times New Roman"/>
          <w:b/>
          <w:bCs/>
          <w:kern w:val="36"/>
          <w:sz w:val="48"/>
          <w:szCs w:val="48"/>
          <w:lang w:eastAsia="en-GB"/>
          <w14:ligatures w14:val="none"/>
        </w:rPr>
        <w:t>Primary Care Provider Collaboratives (PCPCs) – Guidance for LMCs</w:t>
      </w:r>
    </w:p>
    <w:p w14:paraId="3B03C080" w14:textId="77777777" w:rsid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This document provides guidance for Local Medical Committees (LMCs) and general practices wishing to develop Provider Collaboratives in their areas. It should be read alongside the following resources produced by GPC:</w:t>
      </w:r>
    </w:p>
    <w:p w14:paraId="1EDE7599" w14:textId="77777777" w:rsidR="00CA5058" w:rsidRPr="00483D47" w:rsidRDefault="00CA5058" w:rsidP="00CA5058">
      <w:pPr>
        <w:rPr>
          <w:i/>
          <w:iCs/>
          <w:color w:val="156082" w:themeColor="accent1"/>
          <w:sz w:val="22"/>
          <w:szCs w:val="22"/>
        </w:rPr>
      </w:pPr>
      <w:hyperlink r:id="rId5" w:history="1">
        <w:r w:rsidRPr="00483D47">
          <w:rPr>
            <w:rStyle w:val="Hyperlink"/>
            <w:i/>
            <w:iCs/>
            <w:color w:val="156082" w:themeColor="accent1"/>
            <w:sz w:val="22"/>
            <w:szCs w:val="22"/>
          </w:rPr>
          <w:t>ICB Draft Blueprint Guidance GPC</w:t>
        </w:r>
      </w:hyperlink>
    </w:p>
    <w:p w14:paraId="57521E89" w14:textId="7F0E92D1" w:rsidR="00CA5058" w:rsidRPr="00CC7594" w:rsidRDefault="00CC7594" w:rsidP="00CA5058">
      <w:pPr>
        <w:rPr>
          <w:rStyle w:val="Hyperlink"/>
          <w:i/>
          <w:iCs/>
          <w:sz w:val="22"/>
          <w:szCs w:val="22"/>
        </w:rPr>
      </w:pPr>
      <w:r>
        <w:rPr>
          <w:i/>
          <w:iCs/>
          <w:sz w:val="22"/>
          <w:szCs w:val="22"/>
        </w:rPr>
        <w:fldChar w:fldCharType="begin"/>
      </w:r>
      <w:r>
        <w:rPr>
          <w:i/>
          <w:iCs/>
          <w:sz w:val="22"/>
          <w:szCs w:val="22"/>
        </w:rPr>
        <w:instrText>HYPERLINK "https://i.emlfiles4.com/cmpdoc/2/5/8/0/5/3/files/12475_focus-on-ethics.pdf"</w:instrText>
      </w:r>
      <w:r>
        <w:rPr>
          <w:i/>
          <w:iCs/>
          <w:sz w:val="22"/>
          <w:szCs w:val="22"/>
        </w:rPr>
      </w:r>
      <w:r>
        <w:rPr>
          <w:i/>
          <w:iCs/>
          <w:sz w:val="22"/>
          <w:szCs w:val="22"/>
        </w:rPr>
        <w:fldChar w:fldCharType="separate"/>
      </w:r>
      <w:r w:rsidR="00CA5058" w:rsidRPr="00CC7594">
        <w:rPr>
          <w:rStyle w:val="Hyperlink"/>
          <w:i/>
          <w:iCs/>
          <w:sz w:val="22"/>
          <w:szCs w:val="22"/>
        </w:rPr>
        <w:t>Focus on Ethics pdf</w:t>
      </w:r>
    </w:p>
    <w:p w14:paraId="046A5134" w14:textId="3FAC2DA1" w:rsidR="00CA5058" w:rsidRPr="00CC7594" w:rsidRDefault="00CC7594" w:rsidP="00CA5058">
      <w:pPr>
        <w:rPr>
          <w:rStyle w:val="Hyperlink"/>
          <w:i/>
          <w:iCs/>
          <w:sz w:val="22"/>
          <w:szCs w:val="22"/>
        </w:rPr>
      </w:pPr>
      <w:r>
        <w:rPr>
          <w:i/>
          <w:iCs/>
          <w:sz w:val="22"/>
          <w:szCs w:val="22"/>
        </w:rPr>
        <w:fldChar w:fldCharType="end"/>
      </w:r>
      <w:r>
        <w:rPr>
          <w:i/>
          <w:iCs/>
          <w:sz w:val="22"/>
          <w:szCs w:val="22"/>
        </w:rPr>
        <w:fldChar w:fldCharType="begin"/>
      </w:r>
      <w:r>
        <w:rPr>
          <w:i/>
          <w:iCs/>
          <w:sz w:val="22"/>
          <w:szCs w:val="22"/>
        </w:rPr>
        <w:instrText>HYPERLINK "https://i.emlfiles4.com/cmpdoc/2/5/8/0/5/3/files/12473_focus-neighbourhood.pdf"</w:instrText>
      </w:r>
      <w:r>
        <w:rPr>
          <w:i/>
          <w:iCs/>
          <w:sz w:val="22"/>
          <w:szCs w:val="22"/>
        </w:rPr>
      </w:r>
      <w:r>
        <w:rPr>
          <w:i/>
          <w:iCs/>
          <w:sz w:val="22"/>
          <w:szCs w:val="22"/>
        </w:rPr>
        <w:fldChar w:fldCharType="separate"/>
      </w:r>
      <w:r w:rsidR="00CA5058" w:rsidRPr="00CC7594">
        <w:rPr>
          <w:rStyle w:val="Hyperlink"/>
          <w:i/>
          <w:iCs/>
          <w:sz w:val="22"/>
          <w:szCs w:val="22"/>
        </w:rPr>
        <w:t xml:space="preserve">Focus on Neighbourhood pdf </w:t>
      </w:r>
    </w:p>
    <w:p w14:paraId="4D98B18F" w14:textId="07DFDDF5" w:rsidR="0082326F" w:rsidRPr="0082326F" w:rsidRDefault="00CC7594"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Pr>
          <w:i/>
          <w:iCs/>
          <w:sz w:val="22"/>
          <w:szCs w:val="22"/>
        </w:rPr>
        <w:fldChar w:fldCharType="end"/>
      </w:r>
      <w:r w:rsidR="0082326F" w:rsidRPr="0082326F">
        <w:rPr>
          <w:rFonts w:ascii="Times New Roman" w:eastAsia="Times New Roman" w:hAnsi="Times New Roman" w:cs="Times New Roman"/>
          <w:kern w:val="0"/>
          <w:lang w:eastAsia="en-GB"/>
          <w14:ligatures w14:val="none"/>
        </w:rPr>
        <w:t xml:space="preserve">The Department of Health and Social Care (DHSC) and NHS England (NHSE) have invited Integrated Care Boards (ICBs) and Local Authorities to join the first wave of the </w:t>
      </w:r>
      <w:r w:rsidR="0082326F" w:rsidRPr="0082326F">
        <w:rPr>
          <w:rFonts w:ascii="Times New Roman" w:eastAsia="Times New Roman" w:hAnsi="Times New Roman" w:cs="Times New Roman"/>
          <w:i/>
          <w:iCs/>
          <w:kern w:val="0"/>
          <w:lang w:eastAsia="en-GB"/>
          <w14:ligatures w14:val="none"/>
        </w:rPr>
        <w:t>National Neighbourhood Health Implementation Programme (NNHIP)</w:t>
      </w:r>
      <w:r w:rsidR="0082326F" w:rsidRPr="0082326F">
        <w:rPr>
          <w:rFonts w:ascii="Times New Roman" w:eastAsia="Times New Roman" w:hAnsi="Times New Roman" w:cs="Times New Roman"/>
          <w:kern w:val="0"/>
          <w:lang w:eastAsia="en-GB"/>
          <w14:ligatures w14:val="none"/>
        </w:rPr>
        <w:t xml:space="preserve">. GP practices, federations and PCNs </w:t>
      </w:r>
      <w:r w:rsidR="00D33139">
        <w:rPr>
          <w:rFonts w:ascii="Times New Roman" w:eastAsia="Times New Roman" w:hAnsi="Times New Roman" w:cs="Times New Roman"/>
          <w:kern w:val="0"/>
          <w:lang w:eastAsia="en-GB"/>
          <w14:ligatures w14:val="none"/>
        </w:rPr>
        <w:t>should</w:t>
      </w:r>
      <w:r w:rsidR="0082326F" w:rsidRPr="0082326F">
        <w:rPr>
          <w:rFonts w:ascii="Times New Roman" w:eastAsia="Times New Roman" w:hAnsi="Times New Roman" w:cs="Times New Roman"/>
          <w:kern w:val="0"/>
          <w:lang w:eastAsia="en-GB"/>
          <w14:ligatures w14:val="none"/>
        </w:rPr>
        <w:t xml:space="preserve"> consider how they will operate in these systems by developing collaborative models based on transparent and ethical principles that protect both member practices and patient care.</w:t>
      </w:r>
    </w:p>
    <w:p w14:paraId="75E08979" w14:textId="26F47339" w:rsidR="0082326F" w:rsidRPr="0082326F" w:rsidRDefault="0082326F" w:rsidP="004D2F0B">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Without strong, aligned voices from general practice, </w:t>
      </w:r>
      <w:r w:rsidR="006B12F5">
        <w:rPr>
          <w:rFonts w:ascii="Times New Roman" w:eastAsia="Times New Roman" w:hAnsi="Times New Roman" w:cs="Times New Roman"/>
          <w:kern w:val="0"/>
          <w:lang w:eastAsia="en-GB"/>
          <w14:ligatures w14:val="none"/>
        </w:rPr>
        <w:t xml:space="preserve">LMCs, </w:t>
      </w:r>
      <w:r w:rsidRPr="0082326F">
        <w:rPr>
          <w:rFonts w:ascii="Times New Roman" w:eastAsia="Times New Roman" w:hAnsi="Times New Roman" w:cs="Times New Roman"/>
          <w:kern w:val="0"/>
          <w:lang w:eastAsia="en-GB"/>
          <w14:ligatures w14:val="none"/>
        </w:rPr>
        <w:t xml:space="preserve">PCNs, and federations, system </w:t>
      </w:r>
      <w:r w:rsidR="00F7369A">
        <w:rPr>
          <w:rFonts w:ascii="Times New Roman" w:eastAsia="Times New Roman" w:hAnsi="Times New Roman" w:cs="Times New Roman"/>
          <w:kern w:val="0"/>
          <w:lang w:eastAsia="en-GB"/>
          <w14:ligatures w14:val="none"/>
        </w:rPr>
        <w:t>re</w:t>
      </w:r>
      <w:r w:rsidRPr="0082326F">
        <w:rPr>
          <w:rFonts w:ascii="Times New Roman" w:eastAsia="Times New Roman" w:hAnsi="Times New Roman" w:cs="Times New Roman"/>
          <w:kern w:val="0"/>
          <w:lang w:eastAsia="en-GB"/>
          <w14:ligatures w14:val="none"/>
        </w:rPr>
        <w:t xml:space="preserve">design risks being imposed externally, potentially misaligned with the realities of </w:t>
      </w:r>
      <w:r w:rsidR="003607F9">
        <w:rPr>
          <w:rFonts w:ascii="Times New Roman" w:eastAsia="Times New Roman" w:hAnsi="Times New Roman" w:cs="Times New Roman"/>
          <w:kern w:val="0"/>
          <w:lang w:eastAsia="en-GB"/>
          <w14:ligatures w14:val="none"/>
        </w:rPr>
        <w:t xml:space="preserve">general practice and </w:t>
      </w:r>
      <w:r w:rsidR="00531242">
        <w:rPr>
          <w:rFonts w:ascii="Times New Roman" w:eastAsia="Times New Roman" w:hAnsi="Times New Roman" w:cs="Times New Roman"/>
          <w:kern w:val="0"/>
          <w:lang w:eastAsia="en-GB"/>
          <w14:ligatures w14:val="none"/>
        </w:rPr>
        <w:t xml:space="preserve">wider </w:t>
      </w:r>
      <w:r w:rsidRPr="0082326F">
        <w:rPr>
          <w:rFonts w:ascii="Times New Roman" w:eastAsia="Times New Roman" w:hAnsi="Times New Roman" w:cs="Times New Roman"/>
          <w:kern w:val="0"/>
          <w:lang w:eastAsia="en-GB"/>
          <w14:ligatures w14:val="none"/>
        </w:rPr>
        <w:t xml:space="preserve">primary care and resulting in poorer outcomes for patients. In the absence of effective </w:t>
      </w:r>
      <w:r w:rsidR="00DF29FB">
        <w:rPr>
          <w:rFonts w:ascii="Times New Roman" w:eastAsia="Times New Roman" w:hAnsi="Times New Roman" w:cs="Times New Roman"/>
          <w:kern w:val="0"/>
          <w:lang w:eastAsia="en-GB"/>
          <w14:ligatures w14:val="none"/>
        </w:rPr>
        <w:t xml:space="preserve">provider </w:t>
      </w:r>
      <w:r w:rsidRPr="0082326F">
        <w:rPr>
          <w:rFonts w:ascii="Times New Roman" w:eastAsia="Times New Roman" w:hAnsi="Times New Roman" w:cs="Times New Roman"/>
          <w:kern w:val="0"/>
          <w:lang w:eastAsia="en-GB"/>
          <w14:ligatures w14:val="none"/>
        </w:rPr>
        <w:t>collaboration, key commissioning powers may be transferred to Trusts or underdeveloped neighbourhood collaboratives, bypassing general practice entirely.</w:t>
      </w:r>
    </w:p>
    <w:p w14:paraId="4206CE95" w14:textId="234A83D1"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LMCs across England have shared examples of Terms of Reference (TORs) for existing collaborative models, ranging from GP Provider Boards </w:t>
      </w:r>
      <w:r w:rsidR="00874A7F" w:rsidRPr="0082326F">
        <w:rPr>
          <w:rFonts w:ascii="Times New Roman" w:eastAsia="Times New Roman" w:hAnsi="Times New Roman" w:cs="Times New Roman"/>
          <w:kern w:val="0"/>
          <w:lang w:eastAsia="en-GB"/>
          <w14:ligatures w14:val="none"/>
        </w:rPr>
        <w:t>(practices</w:t>
      </w:r>
      <w:r w:rsidRPr="0082326F">
        <w:rPr>
          <w:rFonts w:ascii="Times New Roman" w:eastAsia="Times New Roman" w:hAnsi="Times New Roman" w:cs="Times New Roman"/>
          <w:kern w:val="0"/>
          <w:lang w:eastAsia="en-GB"/>
          <w14:ligatures w14:val="none"/>
        </w:rPr>
        <w:t>, PCNs and federations) to wider PCPCs (including general practice, pharmacy, dentistry, and optometry). These models are at varying stages of maturity.</w:t>
      </w:r>
    </w:p>
    <w:p w14:paraId="1A300C10" w14:textId="77777777"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b/>
          <w:bCs/>
          <w:kern w:val="0"/>
          <w:lang w:eastAsia="en-GB"/>
          <w14:ligatures w14:val="none"/>
        </w:rPr>
        <w:t>Definitions:</w:t>
      </w:r>
    </w:p>
    <w:p w14:paraId="404B84CC" w14:textId="77777777" w:rsidR="0082326F" w:rsidRPr="0082326F" w:rsidRDefault="0082326F" w:rsidP="0082326F">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i/>
          <w:iCs/>
          <w:kern w:val="0"/>
          <w:lang w:eastAsia="en-GB"/>
          <w14:ligatures w14:val="none"/>
        </w:rPr>
        <w:t>Primary Care</w:t>
      </w:r>
      <w:r w:rsidRPr="0082326F">
        <w:rPr>
          <w:rFonts w:ascii="Times New Roman" w:eastAsia="Times New Roman" w:hAnsi="Times New Roman" w:cs="Times New Roman"/>
          <w:kern w:val="0"/>
          <w:lang w:eastAsia="en-GB"/>
          <w14:ligatures w14:val="none"/>
        </w:rPr>
        <w:t xml:space="preserve"> – The first point of contact for healthcare, including general practice, community pharmacy, dentistry, and optometry.</w:t>
      </w:r>
    </w:p>
    <w:p w14:paraId="2C326EC9" w14:textId="77777777" w:rsidR="0082326F" w:rsidRPr="0082326F" w:rsidRDefault="0082326F" w:rsidP="0082326F">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i/>
          <w:iCs/>
          <w:kern w:val="0"/>
          <w:lang w:eastAsia="en-GB"/>
          <w14:ligatures w14:val="none"/>
        </w:rPr>
        <w:t>General Practice</w:t>
      </w:r>
      <w:r w:rsidRPr="0082326F">
        <w:rPr>
          <w:rFonts w:ascii="Times New Roman" w:eastAsia="Times New Roman" w:hAnsi="Times New Roman" w:cs="Times New Roman"/>
          <w:kern w:val="0"/>
          <w:lang w:eastAsia="en-GB"/>
          <w14:ligatures w14:val="none"/>
        </w:rPr>
        <w:t xml:space="preserve"> – A subset of primary care, providing comprehensive medical care led by GPs and their teams, characterised by continuity of care, patient advocacy, and coordination of long-term condition management and prevention.</w:t>
      </w:r>
    </w:p>
    <w:p w14:paraId="25D0E558" w14:textId="26ED4597"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This guidance draws on discussions with multiple LMCs and may be used to support the development of local collaborative structures. The sections below can be incorporated into associated TORs. LMCs, with their unique expertise</w:t>
      </w:r>
      <w:r w:rsidR="002518B8">
        <w:rPr>
          <w:rFonts w:ascii="Times New Roman" w:eastAsia="Times New Roman" w:hAnsi="Times New Roman" w:cs="Times New Roman"/>
          <w:kern w:val="0"/>
          <w:lang w:eastAsia="en-GB"/>
          <w14:ligatures w14:val="none"/>
        </w:rPr>
        <w:t xml:space="preserve"> and </w:t>
      </w:r>
      <w:r w:rsidR="00395D16">
        <w:rPr>
          <w:rFonts w:ascii="Times New Roman" w:eastAsia="Times New Roman" w:hAnsi="Times New Roman" w:cs="Times New Roman"/>
          <w:kern w:val="0"/>
          <w:lang w:eastAsia="en-GB"/>
          <w14:ligatures w14:val="none"/>
        </w:rPr>
        <w:t>understanding</w:t>
      </w:r>
      <w:r w:rsidR="002518B8">
        <w:rPr>
          <w:rFonts w:ascii="Times New Roman" w:eastAsia="Times New Roman" w:hAnsi="Times New Roman" w:cs="Times New Roman"/>
          <w:kern w:val="0"/>
          <w:lang w:eastAsia="en-GB"/>
          <w14:ligatures w14:val="none"/>
        </w:rPr>
        <w:t xml:space="preserve"> of</w:t>
      </w:r>
      <w:r w:rsidR="005E3E67">
        <w:rPr>
          <w:rFonts w:ascii="Times New Roman" w:eastAsia="Times New Roman" w:hAnsi="Times New Roman" w:cs="Times New Roman"/>
          <w:kern w:val="0"/>
          <w:lang w:eastAsia="en-GB"/>
          <w14:ligatures w14:val="none"/>
        </w:rPr>
        <w:t xml:space="preserve"> </w:t>
      </w:r>
      <w:r w:rsidR="00395D16">
        <w:rPr>
          <w:rFonts w:ascii="Times New Roman" w:eastAsia="Times New Roman" w:hAnsi="Times New Roman" w:cs="Times New Roman"/>
          <w:kern w:val="0"/>
          <w:lang w:eastAsia="en-GB"/>
          <w14:ligatures w14:val="none"/>
        </w:rPr>
        <w:t xml:space="preserve">local </w:t>
      </w:r>
      <w:r w:rsidR="005E3E67">
        <w:rPr>
          <w:rFonts w:ascii="Times New Roman" w:eastAsia="Times New Roman" w:hAnsi="Times New Roman" w:cs="Times New Roman"/>
          <w:kern w:val="0"/>
          <w:lang w:eastAsia="en-GB"/>
          <w14:ligatures w14:val="none"/>
        </w:rPr>
        <w:t>provider structures</w:t>
      </w:r>
      <w:r w:rsidRPr="0082326F">
        <w:rPr>
          <w:rFonts w:ascii="Times New Roman" w:eastAsia="Times New Roman" w:hAnsi="Times New Roman" w:cs="Times New Roman"/>
          <w:kern w:val="0"/>
          <w:lang w:eastAsia="en-GB"/>
          <w14:ligatures w14:val="none"/>
        </w:rPr>
        <w:t xml:space="preserve">, are well-placed to help design effective </w:t>
      </w:r>
      <w:r w:rsidR="0097633C">
        <w:rPr>
          <w:rFonts w:ascii="Times New Roman" w:eastAsia="Times New Roman" w:hAnsi="Times New Roman" w:cs="Times New Roman"/>
          <w:kern w:val="0"/>
          <w:lang w:eastAsia="en-GB"/>
          <w14:ligatures w14:val="none"/>
        </w:rPr>
        <w:t xml:space="preserve">collaborative </w:t>
      </w:r>
      <w:r w:rsidRPr="0082326F">
        <w:rPr>
          <w:rFonts w:ascii="Times New Roman" w:eastAsia="Times New Roman" w:hAnsi="Times New Roman" w:cs="Times New Roman"/>
          <w:kern w:val="0"/>
          <w:lang w:eastAsia="en-GB"/>
          <w14:ligatures w14:val="none"/>
        </w:rPr>
        <w:t>structures that amplify patient outcomes and ensure primary care is supported within the wider system.</w:t>
      </w:r>
      <w:r w:rsidR="00A91354">
        <w:rPr>
          <w:rFonts w:ascii="Times New Roman" w:eastAsia="Times New Roman" w:hAnsi="Times New Roman" w:cs="Times New Roman"/>
          <w:kern w:val="0"/>
          <w:lang w:eastAsia="en-GB"/>
          <w14:ligatures w14:val="none"/>
        </w:rPr>
        <w:t xml:space="preserve"> </w:t>
      </w:r>
      <w:r w:rsidR="00816D7B" w:rsidRPr="00816D7B">
        <w:rPr>
          <w:rFonts w:ascii="Times New Roman" w:eastAsia="Times New Roman" w:hAnsi="Times New Roman" w:cs="Times New Roman"/>
          <w:kern w:val="0"/>
          <w:lang w:eastAsia="en-GB"/>
          <w14:ligatures w14:val="none"/>
        </w:rPr>
        <w:t xml:space="preserve">General practice, </w:t>
      </w:r>
      <w:r w:rsidR="008D29C0">
        <w:rPr>
          <w:rFonts w:ascii="Times New Roman" w:eastAsia="Times New Roman" w:hAnsi="Times New Roman" w:cs="Times New Roman"/>
          <w:kern w:val="0"/>
          <w:lang w:eastAsia="en-GB"/>
          <w14:ligatures w14:val="none"/>
        </w:rPr>
        <w:t xml:space="preserve">with </w:t>
      </w:r>
      <w:r w:rsidR="00816D7B" w:rsidRPr="00816D7B">
        <w:rPr>
          <w:rFonts w:ascii="Times New Roman" w:eastAsia="Times New Roman" w:hAnsi="Times New Roman" w:cs="Times New Roman"/>
          <w:kern w:val="0"/>
          <w:lang w:eastAsia="en-GB"/>
          <w14:ligatures w14:val="none"/>
        </w:rPr>
        <w:t xml:space="preserve">its </w:t>
      </w:r>
      <w:r w:rsidR="008047C8">
        <w:rPr>
          <w:rFonts w:ascii="Times New Roman" w:eastAsia="Times New Roman" w:hAnsi="Times New Roman" w:cs="Times New Roman"/>
          <w:kern w:val="0"/>
          <w:lang w:eastAsia="en-GB"/>
          <w14:ligatures w14:val="none"/>
        </w:rPr>
        <w:t xml:space="preserve">patient </w:t>
      </w:r>
      <w:r w:rsidR="00816D7B" w:rsidRPr="00816D7B">
        <w:rPr>
          <w:rFonts w:ascii="Times New Roman" w:eastAsia="Times New Roman" w:hAnsi="Times New Roman" w:cs="Times New Roman"/>
          <w:kern w:val="0"/>
          <w:lang w:eastAsia="en-GB"/>
          <w14:ligatures w14:val="none"/>
        </w:rPr>
        <w:t>advocacy role, deep understanding of patient need in the local context, and extensive experience in coordinating care, is particularly well positioned to lead this transformation</w:t>
      </w:r>
      <w:r w:rsidR="009F0301">
        <w:rPr>
          <w:rFonts w:ascii="Times New Roman" w:eastAsia="Times New Roman" w:hAnsi="Times New Roman" w:cs="Times New Roman"/>
          <w:kern w:val="0"/>
          <w:lang w:eastAsia="en-GB"/>
          <w14:ligatures w14:val="none"/>
        </w:rPr>
        <w:t xml:space="preserve"> for wider primary care</w:t>
      </w:r>
      <w:r w:rsidR="00E755E4">
        <w:rPr>
          <w:rFonts w:ascii="Times New Roman" w:eastAsia="Times New Roman" w:hAnsi="Times New Roman" w:cs="Times New Roman"/>
          <w:kern w:val="0"/>
          <w:lang w:eastAsia="en-GB"/>
          <w14:ligatures w14:val="none"/>
        </w:rPr>
        <w:t xml:space="preserve"> and should be firmly embedded in any emerging new structures</w:t>
      </w:r>
      <w:r w:rsidR="00816D7B" w:rsidRPr="00816D7B">
        <w:rPr>
          <w:rFonts w:ascii="Times New Roman" w:eastAsia="Times New Roman" w:hAnsi="Times New Roman" w:cs="Times New Roman"/>
          <w:kern w:val="0"/>
          <w:lang w:eastAsia="en-GB"/>
          <w14:ligatures w14:val="none"/>
        </w:rPr>
        <w:t>.</w:t>
      </w:r>
      <w:r w:rsidR="00816D7B">
        <w:rPr>
          <w:rFonts w:ascii="Times New Roman" w:eastAsia="Times New Roman" w:hAnsi="Times New Roman" w:cs="Times New Roman"/>
          <w:kern w:val="0"/>
          <w:lang w:eastAsia="en-GB"/>
          <w14:ligatures w14:val="none"/>
        </w:rPr>
        <w:t xml:space="preserve"> </w:t>
      </w:r>
    </w:p>
    <w:p w14:paraId="59FB3004" w14:textId="77777777" w:rsidR="0082326F" w:rsidRPr="0082326F" w:rsidRDefault="00000000" w:rsidP="0082326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pict w14:anchorId="361BAA71">
          <v:rect id="_x0000_i1025" style="width:0;height:1.5pt" o:hralign="center" o:hrstd="t" o:hr="t" fillcolor="#a0a0a0" stroked="f"/>
        </w:pict>
      </w:r>
    </w:p>
    <w:p w14:paraId="146DFB7F" w14:textId="77777777" w:rsidR="0082326F" w:rsidRPr="0082326F" w:rsidRDefault="0082326F" w:rsidP="008232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2326F">
        <w:rPr>
          <w:rFonts w:ascii="Times New Roman" w:eastAsia="Times New Roman" w:hAnsi="Times New Roman" w:cs="Times New Roman"/>
          <w:b/>
          <w:bCs/>
          <w:kern w:val="0"/>
          <w:sz w:val="36"/>
          <w:szCs w:val="36"/>
          <w:lang w:eastAsia="en-GB"/>
          <w14:ligatures w14:val="none"/>
        </w:rPr>
        <w:t>1. Key Principles</w:t>
      </w:r>
    </w:p>
    <w:p w14:paraId="5A55FC25" w14:textId="77777777"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82326F">
        <w:rPr>
          <w:rFonts w:ascii="Times New Roman" w:eastAsia="Times New Roman" w:hAnsi="Times New Roman" w:cs="Times New Roman"/>
          <w:b/>
          <w:bCs/>
          <w:kern w:val="0"/>
          <w:lang w:eastAsia="en-GB"/>
          <w14:ligatures w14:val="none"/>
        </w:rPr>
        <w:t>i</w:t>
      </w:r>
      <w:proofErr w:type="spellEnd"/>
      <w:r w:rsidRPr="0082326F">
        <w:rPr>
          <w:rFonts w:ascii="Times New Roman" w:eastAsia="Times New Roman" w:hAnsi="Times New Roman" w:cs="Times New Roman"/>
          <w:b/>
          <w:bCs/>
          <w:kern w:val="0"/>
          <w:lang w:eastAsia="en-GB"/>
          <w14:ligatures w14:val="none"/>
        </w:rPr>
        <w:t>) Subsidiarity</w:t>
      </w:r>
    </w:p>
    <w:p w14:paraId="5EC1F581" w14:textId="62BCFEC6" w:rsidR="00154591" w:rsidRPr="00154591" w:rsidRDefault="00154591" w:rsidP="00154591">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54591">
        <w:rPr>
          <w:rFonts w:ascii="Times New Roman" w:eastAsia="Times New Roman" w:hAnsi="Times New Roman" w:cs="Times New Roman"/>
          <w:kern w:val="0"/>
          <w:lang w:eastAsia="en-GB"/>
          <w14:ligatures w14:val="none"/>
        </w:rPr>
        <w:t>Support delivery at the scale that best achieves the overall strategy of improving outcomes and reducing inequalities (e.g. Practice, Pharmacy, PCN, Place, System).</w:t>
      </w:r>
    </w:p>
    <w:p w14:paraId="7AB621FB" w14:textId="335E45C6" w:rsidR="00154591" w:rsidRPr="0082326F" w:rsidRDefault="00154591" w:rsidP="00154591">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54591">
        <w:rPr>
          <w:rFonts w:ascii="Times New Roman" w:eastAsia="Times New Roman" w:hAnsi="Times New Roman" w:cs="Times New Roman"/>
          <w:kern w:val="0"/>
          <w:lang w:eastAsia="en-GB"/>
          <w14:ligatures w14:val="none"/>
        </w:rPr>
        <w:t>Deliver services at the smallest effective scale where possible.</w:t>
      </w:r>
    </w:p>
    <w:p w14:paraId="19FF7590" w14:textId="77777777" w:rsidR="0082326F" w:rsidRPr="0082326F" w:rsidRDefault="0082326F" w:rsidP="0082326F">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Use larger-scale delivery only when required (e.g. due to resources).</w:t>
      </w:r>
    </w:p>
    <w:p w14:paraId="784DC81C" w14:textId="531533C2" w:rsidR="0082326F" w:rsidRPr="0082326F" w:rsidRDefault="0082326F" w:rsidP="0082326F">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Document and </w:t>
      </w:r>
      <w:r w:rsidR="000C47A6">
        <w:rPr>
          <w:rFonts w:ascii="Times New Roman" w:eastAsia="Times New Roman" w:hAnsi="Times New Roman" w:cs="Times New Roman"/>
          <w:kern w:val="0"/>
          <w:lang w:eastAsia="en-GB"/>
          <w14:ligatures w14:val="none"/>
        </w:rPr>
        <w:t>communicate</w:t>
      </w:r>
      <w:r w:rsidRPr="0082326F">
        <w:rPr>
          <w:rFonts w:ascii="Times New Roman" w:eastAsia="Times New Roman" w:hAnsi="Times New Roman" w:cs="Times New Roman"/>
          <w:kern w:val="0"/>
          <w:lang w:eastAsia="en-GB"/>
          <w14:ligatures w14:val="none"/>
        </w:rPr>
        <w:t xml:space="preserve"> all decisions about </w:t>
      </w:r>
      <w:r w:rsidR="00E8558B">
        <w:rPr>
          <w:rFonts w:ascii="Times New Roman" w:eastAsia="Times New Roman" w:hAnsi="Times New Roman" w:cs="Times New Roman"/>
          <w:kern w:val="0"/>
          <w:lang w:eastAsia="en-GB"/>
          <w14:ligatures w14:val="none"/>
        </w:rPr>
        <w:t xml:space="preserve">scale of </w:t>
      </w:r>
      <w:r w:rsidRPr="0082326F">
        <w:rPr>
          <w:rFonts w:ascii="Times New Roman" w:eastAsia="Times New Roman" w:hAnsi="Times New Roman" w:cs="Times New Roman"/>
          <w:kern w:val="0"/>
          <w:lang w:eastAsia="en-GB"/>
          <w14:ligatures w14:val="none"/>
        </w:rPr>
        <w:t>delivery.</w:t>
      </w:r>
    </w:p>
    <w:p w14:paraId="5B02E038" w14:textId="77777777"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b/>
          <w:bCs/>
          <w:kern w:val="0"/>
          <w:lang w:eastAsia="en-GB"/>
          <w14:ligatures w14:val="none"/>
        </w:rPr>
        <w:t>ii) Sustainability</w:t>
      </w:r>
    </w:p>
    <w:p w14:paraId="18609C89" w14:textId="77777777" w:rsidR="0082326F" w:rsidRPr="0082326F" w:rsidRDefault="0082326F" w:rsidP="0082326F">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Activities must not undermine sustainability at the smallest delivery unit (e.g. individual practices).</w:t>
      </w:r>
    </w:p>
    <w:p w14:paraId="4D620597" w14:textId="631DD014" w:rsidR="0082326F" w:rsidRPr="0082326F" w:rsidRDefault="0082326F" w:rsidP="0082326F">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Applies regardless of </w:t>
      </w:r>
      <w:r w:rsidR="00CE756A">
        <w:rPr>
          <w:rFonts w:ascii="Times New Roman" w:eastAsia="Times New Roman" w:hAnsi="Times New Roman" w:cs="Times New Roman"/>
          <w:kern w:val="0"/>
          <w:lang w:eastAsia="en-GB"/>
          <w14:ligatures w14:val="none"/>
        </w:rPr>
        <w:t xml:space="preserve">scale of </w:t>
      </w:r>
      <w:r w:rsidRPr="0082326F">
        <w:rPr>
          <w:rFonts w:ascii="Times New Roman" w:eastAsia="Times New Roman" w:hAnsi="Times New Roman" w:cs="Times New Roman"/>
          <w:kern w:val="0"/>
          <w:lang w:eastAsia="en-GB"/>
          <w14:ligatures w14:val="none"/>
        </w:rPr>
        <w:t>delivery or decision-making.</w:t>
      </w:r>
    </w:p>
    <w:p w14:paraId="447D592E" w14:textId="77777777"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b/>
          <w:bCs/>
          <w:kern w:val="0"/>
          <w:lang w:eastAsia="en-GB"/>
          <w14:ligatures w14:val="none"/>
        </w:rPr>
        <w:t>iii) Openness, Transparency, and Accountability</w:t>
      </w:r>
    </w:p>
    <w:p w14:paraId="17D3260F" w14:textId="77777777" w:rsidR="0082326F" w:rsidRPr="0082326F" w:rsidRDefault="0082326F" w:rsidP="0082326F">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All actions and recommendations must adhere to these principles.</w:t>
      </w:r>
    </w:p>
    <w:p w14:paraId="1A67D9F4" w14:textId="77777777" w:rsidR="0082326F" w:rsidRPr="0082326F" w:rsidRDefault="00000000" w:rsidP="0082326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E668053">
          <v:rect id="_x0000_i1026" style="width:0;height:1.5pt" o:hralign="center" o:hrstd="t" o:hr="t" fillcolor="#a0a0a0" stroked="f"/>
        </w:pict>
      </w:r>
    </w:p>
    <w:p w14:paraId="1D212A94" w14:textId="77777777" w:rsidR="0082326F" w:rsidRPr="0082326F" w:rsidRDefault="0082326F" w:rsidP="008232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2326F">
        <w:rPr>
          <w:rFonts w:ascii="Times New Roman" w:eastAsia="Times New Roman" w:hAnsi="Times New Roman" w:cs="Times New Roman"/>
          <w:b/>
          <w:bCs/>
          <w:kern w:val="0"/>
          <w:sz w:val="36"/>
          <w:szCs w:val="36"/>
          <w:lang w:eastAsia="en-GB"/>
          <w14:ligatures w14:val="none"/>
        </w:rPr>
        <w:t>2. Purpose</w:t>
      </w:r>
    </w:p>
    <w:p w14:paraId="1C6B2771" w14:textId="77777777" w:rsidR="0082326F" w:rsidRPr="0082326F" w:rsidRDefault="0082326F" w:rsidP="0082326F">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Improve patient care and outcomes.</w:t>
      </w:r>
    </w:p>
    <w:p w14:paraId="55D4CBF4" w14:textId="505103C2" w:rsidR="0082326F" w:rsidRDefault="0082326F" w:rsidP="0082326F">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Strengthen</w:t>
      </w:r>
      <w:r w:rsidR="00647EC9">
        <w:rPr>
          <w:rFonts w:ascii="Times New Roman" w:eastAsia="Times New Roman" w:hAnsi="Times New Roman" w:cs="Times New Roman"/>
          <w:kern w:val="0"/>
          <w:lang w:eastAsia="en-GB"/>
          <w14:ligatures w14:val="none"/>
        </w:rPr>
        <w:t xml:space="preserve"> and represent</w:t>
      </w:r>
      <w:r w:rsidRPr="0082326F">
        <w:rPr>
          <w:rFonts w:ascii="Times New Roman" w:eastAsia="Times New Roman" w:hAnsi="Times New Roman" w:cs="Times New Roman"/>
          <w:kern w:val="0"/>
          <w:lang w:eastAsia="en-GB"/>
          <w14:ligatures w14:val="none"/>
        </w:rPr>
        <w:t xml:space="preserve"> general practice and primary care</w:t>
      </w:r>
      <w:r w:rsidR="00647EC9">
        <w:rPr>
          <w:rFonts w:ascii="Times New Roman" w:eastAsia="Times New Roman" w:hAnsi="Times New Roman" w:cs="Times New Roman"/>
          <w:kern w:val="0"/>
          <w:lang w:eastAsia="en-GB"/>
          <w14:ligatures w14:val="none"/>
        </w:rPr>
        <w:t>’s role</w:t>
      </w:r>
      <w:r w:rsidRPr="0082326F">
        <w:rPr>
          <w:rFonts w:ascii="Times New Roman" w:eastAsia="Times New Roman" w:hAnsi="Times New Roman" w:cs="Times New Roman"/>
          <w:kern w:val="0"/>
          <w:lang w:eastAsia="en-GB"/>
          <w14:ligatures w14:val="none"/>
        </w:rPr>
        <w:t xml:space="preserve"> within health and social care systems.</w:t>
      </w:r>
    </w:p>
    <w:p w14:paraId="4950C18B" w14:textId="37813547" w:rsidR="00DB7925" w:rsidRDefault="00DB7925" w:rsidP="00DB7925">
      <w:pPr>
        <w:pStyle w:val="ListParagraph"/>
        <w:numPr>
          <w:ilvl w:val="0"/>
          <w:numId w:val="6"/>
        </w:num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F</w:t>
      </w:r>
      <w:r w:rsidR="00D133CF" w:rsidRPr="00D133CF">
        <w:rPr>
          <w:rFonts w:ascii="Times New Roman" w:eastAsia="Times New Roman" w:hAnsi="Times New Roman" w:cs="Times New Roman"/>
          <w:kern w:val="0"/>
          <w:lang w:eastAsia="en-GB"/>
          <w14:ligatures w14:val="none"/>
        </w:rPr>
        <w:t xml:space="preserve">ocus on </w:t>
      </w:r>
      <w:r>
        <w:rPr>
          <w:rFonts w:ascii="Times New Roman" w:eastAsia="Times New Roman" w:hAnsi="Times New Roman" w:cs="Times New Roman"/>
          <w:kern w:val="0"/>
          <w:lang w:eastAsia="en-GB"/>
          <w14:ligatures w14:val="none"/>
        </w:rPr>
        <w:t>supporting the</w:t>
      </w:r>
      <w:r w:rsidR="00D133CF" w:rsidRPr="00D133CF">
        <w:rPr>
          <w:rFonts w:ascii="Times New Roman" w:eastAsia="Times New Roman" w:hAnsi="Times New Roman" w:cs="Times New Roman"/>
          <w:kern w:val="0"/>
          <w:lang w:eastAsia="en-GB"/>
          <w14:ligatures w14:val="none"/>
        </w:rPr>
        <w:t xml:space="preserve"> develop</w:t>
      </w:r>
      <w:r>
        <w:rPr>
          <w:rFonts w:ascii="Times New Roman" w:eastAsia="Times New Roman" w:hAnsi="Times New Roman" w:cs="Times New Roman"/>
          <w:kern w:val="0"/>
          <w:lang w:eastAsia="en-GB"/>
          <w14:ligatures w14:val="none"/>
        </w:rPr>
        <w:t>ment of</w:t>
      </w:r>
      <w:r w:rsidR="00D133CF" w:rsidRPr="00D133CF">
        <w:rPr>
          <w:rFonts w:ascii="Times New Roman" w:eastAsia="Times New Roman" w:hAnsi="Times New Roman" w:cs="Times New Roman"/>
          <w:kern w:val="0"/>
          <w:lang w:eastAsia="en-GB"/>
          <w14:ligatures w14:val="none"/>
        </w:rPr>
        <w:t xml:space="preserve"> suitable pathways for </w:t>
      </w:r>
      <w:r w:rsidR="009D69CE">
        <w:rPr>
          <w:rFonts w:ascii="Times New Roman" w:eastAsia="Times New Roman" w:hAnsi="Times New Roman" w:cs="Times New Roman"/>
          <w:kern w:val="0"/>
          <w:lang w:eastAsia="en-GB"/>
          <w14:ligatures w14:val="none"/>
        </w:rPr>
        <w:t>p</w:t>
      </w:r>
      <w:r w:rsidR="00D133CF" w:rsidRPr="00D133CF">
        <w:rPr>
          <w:rFonts w:ascii="Times New Roman" w:eastAsia="Times New Roman" w:hAnsi="Times New Roman" w:cs="Times New Roman"/>
          <w:kern w:val="0"/>
          <w:lang w:eastAsia="en-GB"/>
          <w14:ligatures w14:val="none"/>
        </w:rPr>
        <w:t xml:space="preserve">rimary </w:t>
      </w:r>
      <w:r w:rsidR="009D69CE">
        <w:rPr>
          <w:rFonts w:ascii="Times New Roman" w:eastAsia="Times New Roman" w:hAnsi="Times New Roman" w:cs="Times New Roman"/>
          <w:kern w:val="0"/>
          <w:lang w:eastAsia="en-GB"/>
          <w14:ligatures w14:val="none"/>
        </w:rPr>
        <w:t>c</w:t>
      </w:r>
      <w:r w:rsidR="00D133CF" w:rsidRPr="00D133CF">
        <w:rPr>
          <w:rFonts w:ascii="Times New Roman" w:eastAsia="Times New Roman" w:hAnsi="Times New Roman" w:cs="Times New Roman"/>
          <w:kern w:val="0"/>
          <w:lang w:eastAsia="en-GB"/>
          <w14:ligatures w14:val="none"/>
        </w:rPr>
        <w:t>are to manage patients within the Integrated Care System</w:t>
      </w:r>
      <w:r>
        <w:rPr>
          <w:rFonts w:ascii="Times New Roman" w:eastAsia="Times New Roman" w:hAnsi="Times New Roman" w:cs="Times New Roman"/>
          <w:kern w:val="0"/>
          <w:lang w:eastAsia="en-GB"/>
          <w14:ligatures w14:val="none"/>
        </w:rPr>
        <w:t>.</w:t>
      </w:r>
    </w:p>
    <w:p w14:paraId="36603A46" w14:textId="77777777" w:rsidR="00FA3E90" w:rsidRDefault="0082326F" w:rsidP="00FA3E90">
      <w:pPr>
        <w:pStyle w:val="ListParagraph"/>
        <w:numPr>
          <w:ilvl w:val="0"/>
          <w:numId w:val="6"/>
        </w:numPr>
        <w:rPr>
          <w:rFonts w:ascii="Times New Roman" w:eastAsia="Times New Roman" w:hAnsi="Times New Roman" w:cs="Times New Roman"/>
          <w:kern w:val="0"/>
          <w:lang w:eastAsia="en-GB"/>
          <w14:ligatures w14:val="none"/>
        </w:rPr>
      </w:pPr>
      <w:r w:rsidRPr="00DB7925">
        <w:rPr>
          <w:rFonts w:ascii="Times New Roman" w:eastAsia="Times New Roman" w:hAnsi="Times New Roman" w:cs="Times New Roman"/>
          <w:kern w:val="0"/>
          <w:lang w:eastAsia="en-GB"/>
          <w14:ligatures w14:val="none"/>
        </w:rPr>
        <w:t>Ensure general practice perspectives are represented at system and place discussions, with no major decisions taken without PCPC involvement.</w:t>
      </w:r>
    </w:p>
    <w:p w14:paraId="35634091" w14:textId="77777777" w:rsidR="00FA3E90" w:rsidRDefault="0082326F" w:rsidP="00FA3E90">
      <w:pPr>
        <w:pStyle w:val="ListParagraph"/>
        <w:numPr>
          <w:ilvl w:val="0"/>
          <w:numId w:val="6"/>
        </w:numPr>
        <w:rPr>
          <w:rFonts w:ascii="Times New Roman" w:eastAsia="Times New Roman" w:hAnsi="Times New Roman" w:cs="Times New Roman"/>
          <w:kern w:val="0"/>
          <w:lang w:eastAsia="en-GB"/>
          <w14:ligatures w14:val="none"/>
        </w:rPr>
      </w:pPr>
      <w:r w:rsidRPr="00FA3E90">
        <w:rPr>
          <w:rFonts w:ascii="Times New Roman" w:eastAsia="Times New Roman" w:hAnsi="Times New Roman" w:cs="Times New Roman"/>
          <w:kern w:val="0"/>
          <w:lang w:eastAsia="en-GB"/>
          <w14:ligatures w14:val="none"/>
        </w:rPr>
        <w:t>Provide infrastructure for service delivery, quality improvement, and collaboration.</w:t>
      </w:r>
    </w:p>
    <w:p w14:paraId="02E062F4" w14:textId="77777777" w:rsidR="00FA3E90" w:rsidRDefault="0082326F" w:rsidP="00FA3E90">
      <w:pPr>
        <w:pStyle w:val="ListParagraph"/>
        <w:numPr>
          <w:ilvl w:val="0"/>
          <w:numId w:val="6"/>
        </w:numPr>
        <w:rPr>
          <w:rFonts w:ascii="Times New Roman" w:eastAsia="Times New Roman" w:hAnsi="Times New Roman" w:cs="Times New Roman"/>
          <w:kern w:val="0"/>
          <w:lang w:eastAsia="en-GB"/>
          <w14:ligatures w14:val="none"/>
        </w:rPr>
      </w:pPr>
      <w:r w:rsidRPr="00FA3E90">
        <w:rPr>
          <w:rFonts w:ascii="Times New Roman" w:eastAsia="Times New Roman" w:hAnsi="Times New Roman" w:cs="Times New Roman"/>
          <w:kern w:val="0"/>
          <w:lang w:eastAsia="en-GB"/>
          <w14:ligatures w14:val="none"/>
        </w:rPr>
        <w:t>Secure parity of influence with other sectors (e.g. mental health, community, acute care).</w:t>
      </w:r>
    </w:p>
    <w:p w14:paraId="0DB26023" w14:textId="064A6E76" w:rsidR="00FA3E90" w:rsidRDefault="00CC6DF3" w:rsidP="00FA3E90">
      <w:pPr>
        <w:pStyle w:val="ListParagraph"/>
        <w:numPr>
          <w:ilvl w:val="0"/>
          <w:numId w:val="6"/>
        </w:num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Identify opportunities to e</w:t>
      </w:r>
      <w:r w:rsidR="0082326F" w:rsidRPr="00FA3E90">
        <w:rPr>
          <w:rFonts w:ascii="Times New Roman" w:eastAsia="Times New Roman" w:hAnsi="Times New Roman" w:cs="Times New Roman"/>
          <w:kern w:val="0"/>
          <w:lang w:eastAsia="en-GB"/>
          <w14:ligatures w14:val="none"/>
        </w:rPr>
        <w:t>xpand the range of services deliverable within primary care.</w:t>
      </w:r>
    </w:p>
    <w:p w14:paraId="22ABE1F4" w14:textId="325F50FA" w:rsidR="0082326F" w:rsidRPr="00FA3E90" w:rsidRDefault="0082326F" w:rsidP="00FA3E90">
      <w:pPr>
        <w:pStyle w:val="ListParagraph"/>
        <w:numPr>
          <w:ilvl w:val="0"/>
          <w:numId w:val="6"/>
        </w:numPr>
        <w:rPr>
          <w:rFonts w:ascii="Times New Roman" w:eastAsia="Times New Roman" w:hAnsi="Times New Roman" w:cs="Times New Roman"/>
          <w:kern w:val="0"/>
          <w:lang w:eastAsia="en-GB"/>
          <w14:ligatures w14:val="none"/>
        </w:rPr>
      </w:pPr>
      <w:r w:rsidRPr="00FA3E90">
        <w:rPr>
          <w:rFonts w:ascii="Times New Roman" w:eastAsia="Times New Roman" w:hAnsi="Times New Roman" w:cs="Times New Roman"/>
          <w:kern w:val="0"/>
          <w:lang w:eastAsia="en-GB"/>
          <w14:ligatures w14:val="none"/>
        </w:rPr>
        <w:t xml:space="preserve">Support primary care in fulfilling contractual obligations, with LMC support where </w:t>
      </w:r>
      <w:r w:rsidRPr="00F711F5">
        <w:rPr>
          <w:rFonts w:ascii="Times New Roman" w:eastAsia="Times New Roman" w:hAnsi="Times New Roman" w:cs="Times New Roman"/>
          <w:kern w:val="0"/>
          <w:lang w:eastAsia="en-GB"/>
          <w14:ligatures w14:val="none"/>
        </w:rPr>
        <w:t>appropriate.</w:t>
      </w:r>
    </w:p>
    <w:p w14:paraId="37080730" w14:textId="77777777" w:rsidR="0082326F" w:rsidRPr="0082326F" w:rsidRDefault="00000000" w:rsidP="0082326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D55D0BD">
          <v:rect id="_x0000_i1027" style="width:0;height:1.5pt" o:hralign="center" o:hrstd="t" o:hr="t" fillcolor="#a0a0a0" stroked="f"/>
        </w:pict>
      </w:r>
    </w:p>
    <w:p w14:paraId="4A088318" w14:textId="77777777" w:rsidR="0082326F" w:rsidRPr="0082326F" w:rsidRDefault="0082326F" w:rsidP="008232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2326F">
        <w:rPr>
          <w:rFonts w:ascii="Times New Roman" w:eastAsia="Times New Roman" w:hAnsi="Times New Roman" w:cs="Times New Roman"/>
          <w:b/>
          <w:bCs/>
          <w:kern w:val="0"/>
          <w:sz w:val="36"/>
          <w:szCs w:val="36"/>
          <w:lang w:eastAsia="en-GB"/>
          <w14:ligatures w14:val="none"/>
        </w:rPr>
        <w:t>3. Authority and Status</w:t>
      </w:r>
    </w:p>
    <w:p w14:paraId="439A1493" w14:textId="77777777" w:rsidR="0082326F" w:rsidRPr="0082326F" w:rsidRDefault="0082326F" w:rsidP="0082326F">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PCPC is a non-statutory collaborative of NHS-funded primary care providers.</w:t>
      </w:r>
    </w:p>
    <w:p w14:paraId="0914119D" w14:textId="09A94DF5" w:rsidR="0082326F" w:rsidRPr="0082326F" w:rsidRDefault="0082326F" w:rsidP="0082326F">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Provides a governance framework for collaborati</w:t>
      </w:r>
      <w:r w:rsidR="00F6068B" w:rsidRPr="00BB7145">
        <w:rPr>
          <w:rFonts w:ascii="Times New Roman" w:eastAsia="Times New Roman" w:hAnsi="Times New Roman" w:cs="Times New Roman"/>
          <w:kern w:val="0"/>
          <w:lang w:eastAsia="en-GB"/>
          <w14:ligatures w14:val="none"/>
        </w:rPr>
        <w:t>ve</w:t>
      </w:r>
      <w:r w:rsidR="00F6068B">
        <w:rPr>
          <w:rFonts w:ascii="Times New Roman" w:eastAsia="Times New Roman" w:hAnsi="Times New Roman" w:cs="Times New Roman"/>
          <w:kern w:val="0"/>
          <w:lang w:eastAsia="en-GB"/>
          <w14:ligatures w14:val="none"/>
        </w:rPr>
        <w:t xml:space="preserve"> working</w:t>
      </w:r>
      <w:r w:rsidR="007708E6">
        <w:rPr>
          <w:rFonts w:ascii="Times New Roman" w:eastAsia="Times New Roman" w:hAnsi="Times New Roman" w:cs="Times New Roman"/>
          <w:kern w:val="0"/>
          <w:lang w:eastAsia="en-GB"/>
          <w14:ligatures w14:val="none"/>
        </w:rPr>
        <w:t xml:space="preserve"> between providers</w:t>
      </w:r>
      <w:r w:rsidRPr="0082326F">
        <w:rPr>
          <w:rFonts w:ascii="Times New Roman" w:eastAsia="Times New Roman" w:hAnsi="Times New Roman" w:cs="Times New Roman"/>
          <w:kern w:val="0"/>
          <w:lang w:eastAsia="en-GB"/>
          <w14:ligatures w14:val="none"/>
        </w:rPr>
        <w:t>, aligned with PCPC principles.</w:t>
      </w:r>
    </w:p>
    <w:p w14:paraId="61F46F14" w14:textId="77777777" w:rsidR="0082326F" w:rsidRPr="0082326F" w:rsidRDefault="0082326F" w:rsidP="0082326F">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lastRenderedPageBreak/>
        <w:t>Not a legal entity; member organisations remain sovereign.</w:t>
      </w:r>
    </w:p>
    <w:p w14:paraId="79563132" w14:textId="7CA44113" w:rsidR="0082326F" w:rsidRDefault="0082326F" w:rsidP="0082326F">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Cannot </w:t>
      </w:r>
      <w:r w:rsidR="00735606" w:rsidRPr="00735606">
        <w:rPr>
          <w:rFonts w:ascii="Times New Roman" w:eastAsia="Times New Roman" w:hAnsi="Times New Roman" w:cs="Times New Roman"/>
          <w:kern w:val="0"/>
          <w:lang w:eastAsia="en-GB"/>
          <w14:ligatures w14:val="none"/>
        </w:rPr>
        <w:t>take decisions separately from the member practices or bind any of them.</w:t>
      </w:r>
    </w:p>
    <w:p w14:paraId="5B689579" w14:textId="2B168085" w:rsidR="001934DB" w:rsidRDefault="001934DB" w:rsidP="001934DB">
      <w:pPr>
        <w:pStyle w:val="ListParagraph"/>
        <w:numPr>
          <w:ilvl w:val="0"/>
          <w:numId w:val="7"/>
        </w:numPr>
        <w:rPr>
          <w:rFonts w:ascii="Times New Roman" w:eastAsia="Times New Roman" w:hAnsi="Times New Roman" w:cs="Times New Roman"/>
          <w:kern w:val="0"/>
          <w:lang w:eastAsia="en-GB"/>
          <w14:ligatures w14:val="none"/>
        </w:rPr>
      </w:pPr>
      <w:r w:rsidRPr="001934DB">
        <w:rPr>
          <w:rFonts w:ascii="Times New Roman" w:eastAsia="Times New Roman" w:hAnsi="Times New Roman" w:cs="Times New Roman"/>
          <w:kern w:val="0"/>
          <w:lang w:eastAsia="en-GB"/>
          <w14:ligatures w14:val="none"/>
        </w:rPr>
        <w:t>The Board’s authority is limited to PCPC activities</w:t>
      </w:r>
      <w:r w:rsidR="00A74EFE">
        <w:rPr>
          <w:rFonts w:ascii="Times New Roman" w:eastAsia="Times New Roman" w:hAnsi="Times New Roman" w:cs="Times New Roman"/>
          <w:kern w:val="0"/>
          <w:lang w:eastAsia="en-GB"/>
          <w14:ligatures w14:val="none"/>
        </w:rPr>
        <w:t>.</w:t>
      </w:r>
    </w:p>
    <w:p w14:paraId="7AAA50AF" w14:textId="6B3F6171" w:rsidR="0082326F" w:rsidRPr="001934DB" w:rsidRDefault="005709AE" w:rsidP="001934DB">
      <w:pPr>
        <w:pStyle w:val="ListParagraph"/>
        <w:numPr>
          <w:ilvl w:val="0"/>
          <w:numId w:val="7"/>
        </w:num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PC</w:t>
      </w:r>
      <w:r w:rsidR="000C5A15">
        <w:rPr>
          <w:rFonts w:ascii="Times New Roman" w:eastAsia="Times New Roman" w:hAnsi="Times New Roman" w:cs="Times New Roman"/>
          <w:kern w:val="0"/>
          <w:lang w:eastAsia="en-GB"/>
          <w14:ligatures w14:val="none"/>
        </w:rPr>
        <w:t>PC Board o</w:t>
      </w:r>
      <w:r w:rsidR="0082326F" w:rsidRPr="001934DB">
        <w:rPr>
          <w:rFonts w:ascii="Times New Roman" w:eastAsia="Times New Roman" w:hAnsi="Times New Roman" w:cs="Times New Roman"/>
          <w:kern w:val="0"/>
          <w:lang w:eastAsia="en-GB"/>
          <w14:ligatures w14:val="none"/>
        </w:rPr>
        <w:t>perates as a forum for discussion and consensus-building.</w:t>
      </w:r>
    </w:p>
    <w:p w14:paraId="72E63DC9" w14:textId="77777777" w:rsidR="0082326F" w:rsidRPr="0082326F" w:rsidRDefault="00000000" w:rsidP="0082326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0359B4F">
          <v:rect id="_x0000_i1028" style="width:0;height:1.5pt" o:hralign="center" o:hrstd="t" o:hr="t" fillcolor="#a0a0a0" stroked="f"/>
        </w:pict>
      </w:r>
    </w:p>
    <w:p w14:paraId="05DD3DBC" w14:textId="77777777" w:rsidR="0082326F" w:rsidRPr="0082326F" w:rsidRDefault="0082326F" w:rsidP="008232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2326F">
        <w:rPr>
          <w:rFonts w:ascii="Times New Roman" w:eastAsia="Times New Roman" w:hAnsi="Times New Roman" w:cs="Times New Roman"/>
          <w:b/>
          <w:bCs/>
          <w:kern w:val="0"/>
          <w:sz w:val="36"/>
          <w:szCs w:val="36"/>
          <w:lang w:eastAsia="en-GB"/>
          <w14:ligatures w14:val="none"/>
        </w:rPr>
        <w:t>4. Responsibilities of the Board</w:t>
      </w:r>
    </w:p>
    <w:p w14:paraId="2A86CB0B" w14:textId="77777777" w:rsidR="00E659B7" w:rsidRDefault="0082326F" w:rsidP="0082326F">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Provide strategic leadership </w:t>
      </w:r>
      <w:r w:rsidR="00E659B7">
        <w:rPr>
          <w:rFonts w:ascii="Times New Roman" w:eastAsia="Times New Roman" w:hAnsi="Times New Roman" w:cs="Times New Roman"/>
          <w:kern w:val="0"/>
          <w:lang w:eastAsia="en-GB"/>
          <w14:ligatures w14:val="none"/>
        </w:rPr>
        <w:t>for collaboration.</w:t>
      </w:r>
    </w:p>
    <w:p w14:paraId="13961690" w14:textId="039825FF" w:rsidR="0082326F" w:rsidRPr="0082326F" w:rsidRDefault="006F45D0" w:rsidP="0082326F">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Promote </w:t>
      </w:r>
      <w:r w:rsidR="0082326F" w:rsidRPr="0082326F">
        <w:rPr>
          <w:rFonts w:ascii="Times New Roman" w:eastAsia="Times New Roman" w:hAnsi="Times New Roman" w:cs="Times New Roman"/>
          <w:kern w:val="0"/>
          <w:lang w:eastAsia="en-GB"/>
          <w14:ligatures w14:val="none"/>
        </w:rPr>
        <w:t>equity</w:t>
      </w:r>
      <w:r>
        <w:rPr>
          <w:rFonts w:ascii="Times New Roman" w:eastAsia="Times New Roman" w:hAnsi="Times New Roman" w:cs="Times New Roman"/>
          <w:kern w:val="0"/>
          <w:lang w:eastAsia="en-GB"/>
          <w14:ligatures w14:val="none"/>
        </w:rPr>
        <w:t xml:space="preserve"> for primary care</w:t>
      </w:r>
      <w:r w:rsidR="0082326F" w:rsidRPr="0082326F">
        <w:rPr>
          <w:rFonts w:ascii="Times New Roman" w:eastAsia="Times New Roman" w:hAnsi="Times New Roman" w:cs="Times New Roman"/>
          <w:kern w:val="0"/>
          <w:lang w:eastAsia="en-GB"/>
          <w14:ligatures w14:val="none"/>
        </w:rPr>
        <w:t xml:space="preserve"> in system </w:t>
      </w:r>
      <w:r w:rsidR="00E85E66">
        <w:rPr>
          <w:rFonts w:ascii="Times New Roman" w:eastAsia="Times New Roman" w:hAnsi="Times New Roman" w:cs="Times New Roman"/>
          <w:kern w:val="0"/>
          <w:lang w:eastAsia="en-GB"/>
          <w14:ligatures w14:val="none"/>
        </w:rPr>
        <w:t xml:space="preserve">wide </w:t>
      </w:r>
      <w:r w:rsidR="0082326F" w:rsidRPr="0082326F">
        <w:rPr>
          <w:rFonts w:ascii="Times New Roman" w:eastAsia="Times New Roman" w:hAnsi="Times New Roman" w:cs="Times New Roman"/>
          <w:kern w:val="0"/>
          <w:lang w:eastAsia="en-GB"/>
          <w14:ligatures w14:val="none"/>
        </w:rPr>
        <w:t>planning.</w:t>
      </w:r>
    </w:p>
    <w:p w14:paraId="7FEC4DCD" w14:textId="77777777" w:rsidR="0082326F" w:rsidRPr="0082326F" w:rsidRDefault="0082326F" w:rsidP="0082326F">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Enable two-way communication with system partners.</w:t>
      </w:r>
    </w:p>
    <w:p w14:paraId="2771BA38" w14:textId="1A85776D" w:rsidR="0082326F" w:rsidRPr="0082326F" w:rsidRDefault="0082326F" w:rsidP="0082326F">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Use </w:t>
      </w:r>
      <w:r w:rsidR="00101836">
        <w:rPr>
          <w:rFonts w:ascii="Times New Roman" w:eastAsia="Times New Roman" w:hAnsi="Times New Roman" w:cs="Times New Roman"/>
          <w:kern w:val="0"/>
          <w:lang w:eastAsia="en-GB"/>
          <w14:ligatures w14:val="none"/>
        </w:rPr>
        <w:t>robust</w:t>
      </w:r>
      <w:r w:rsidRPr="0082326F">
        <w:rPr>
          <w:rFonts w:ascii="Times New Roman" w:eastAsia="Times New Roman" w:hAnsi="Times New Roman" w:cs="Times New Roman"/>
          <w:kern w:val="0"/>
          <w:lang w:eastAsia="en-GB"/>
          <w14:ligatures w14:val="none"/>
        </w:rPr>
        <w:t xml:space="preserve"> communication methods to </w:t>
      </w:r>
      <w:r w:rsidR="004D7718">
        <w:rPr>
          <w:rFonts w:ascii="Times New Roman" w:eastAsia="Times New Roman" w:hAnsi="Times New Roman" w:cs="Times New Roman"/>
          <w:kern w:val="0"/>
          <w:lang w:eastAsia="en-GB"/>
          <w14:ligatures w14:val="none"/>
        </w:rPr>
        <w:t>ensure the full</w:t>
      </w:r>
      <w:r w:rsidR="004A73C5">
        <w:rPr>
          <w:rFonts w:ascii="Times New Roman" w:eastAsia="Times New Roman" w:hAnsi="Times New Roman" w:cs="Times New Roman"/>
          <w:kern w:val="0"/>
          <w:lang w:eastAsia="en-GB"/>
          <w14:ligatures w14:val="none"/>
        </w:rPr>
        <w:t xml:space="preserve"> </w:t>
      </w:r>
      <w:r w:rsidRPr="0082326F">
        <w:rPr>
          <w:rFonts w:ascii="Times New Roman" w:eastAsia="Times New Roman" w:hAnsi="Times New Roman" w:cs="Times New Roman"/>
          <w:kern w:val="0"/>
          <w:lang w:eastAsia="en-GB"/>
          <w14:ligatures w14:val="none"/>
        </w:rPr>
        <w:t>engage</w:t>
      </w:r>
      <w:r w:rsidR="004D7718">
        <w:rPr>
          <w:rFonts w:ascii="Times New Roman" w:eastAsia="Times New Roman" w:hAnsi="Times New Roman" w:cs="Times New Roman"/>
          <w:kern w:val="0"/>
          <w:lang w:eastAsia="en-GB"/>
          <w14:ligatures w14:val="none"/>
        </w:rPr>
        <w:t>ment</w:t>
      </w:r>
      <w:r w:rsidRPr="0082326F">
        <w:rPr>
          <w:rFonts w:ascii="Times New Roman" w:eastAsia="Times New Roman" w:hAnsi="Times New Roman" w:cs="Times New Roman"/>
          <w:kern w:val="0"/>
          <w:lang w:eastAsia="en-GB"/>
          <w14:ligatures w14:val="none"/>
        </w:rPr>
        <w:t xml:space="preserve"> </w:t>
      </w:r>
      <w:r w:rsidR="004D7718">
        <w:rPr>
          <w:rFonts w:ascii="Times New Roman" w:eastAsia="Times New Roman" w:hAnsi="Times New Roman" w:cs="Times New Roman"/>
          <w:kern w:val="0"/>
          <w:lang w:eastAsia="en-GB"/>
          <w14:ligatures w14:val="none"/>
        </w:rPr>
        <w:t>of</w:t>
      </w:r>
      <w:r w:rsidR="004A73C5">
        <w:rPr>
          <w:rFonts w:ascii="Times New Roman" w:eastAsia="Times New Roman" w:hAnsi="Times New Roman" w:cs="Times New Roman"/>
          <w:kern w:val="0"/>
          <w:lang w:eastAsia="en-GB"/>
          <w14:ligatures w14:val="none"/>
        </w:rPr>
        <w:t xml:space="preserve"> </w:t>
      </w:r>
      <w:r w:rsidRPr="0082326F">
        <w:rPr>
          <w:rFonts w:ascii="Times New Roman" w:eastAsia="Times New Roman" w:hAnsi="Times New Roman" w:cs="Times New Roman"/>
          <w:kern w:val="0"/>
          <w:lang w:eastAsia="en-GB"/>
          <w14:ligatures w14:val="none"/>
        </w:rPr>
        <w:t>primary care.</w:t>
      </w:r>
    </w:p>
    <w:p w14:paraId="5101BCDA" w14:textId="4603DD53" w:rsidR="0082326F" w:rsidRPr="0082326F" w:rsidRDefault="0082326F" w:rsidP="0082326F">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Support transformation and improvement (e.g. working with federations </w:t>
      </w:r>
      <w:r w:rsidR="00F812EE">
        <w:rPr>
          <w:rFonts w:ascii="Times New Roman" w:eastAsia="Times New Roman" w:hAnsi="Times New Roman" w:cs="Times New Roman"/>
          <w:kern w:val="0"/>
          <w:lang w:eastAsia="en-GB"/>
          <w14:ligatures w14:val="none"/>
        </w:rPr>
        <w:t xml:space="preserve">and others to deliver </w:t>
      </w:r>
      <w:r w:rsidRPr="0082326F">
        <w:rPr>
          <w:rFonts w:ascii="Times New Roman" w:eastAsia="Times New Roman" w:hAnsi="Times New Roman" w:cs="Times New Roman"/>
          <w:kern w:val="0"/>
          <w:lang w:eastAsia="en-GB"/>
          <w14:ligatures w14:val="none"/>
        </w:rPr>
        <w:t>at scale</w:t>
      </w:r>
      <w:r w:rsidR="00F812EE">
        <w:rPr>
          <w:rFonts w:ascii="Times New Roman" w:eastAsia="Times New Roman" w:hAnsi="Times New Roman" w:cs="Times New Roman"/>
          <w:kern w:val="0"/>
          <w:lang w:eastAsia="en-GB"/>
          <w14:ligatures w14:val="none"/>
        </w:rPr>
        <w:t xml:space="preserve"> where appropriate</w:t>
      </w:r>
      <w:r w:rsidRPr="0082326F">
        <w:rPr>
          <w:rFonts w:ascii="Times New Roman" w:eastAsia="Times New Roman" w:hAnsi="Times New Roman" w:cs="Times New Roman"/>
          <w:kern w:val="0"/>
          <w:lang w:eastAsia="en-GB"/>
          <w14:ligatures w14:val="none"/>
        </w:rPr>
        <w:t>).</w:t>
      </w:r>
    </w:p>
    <w:p w14:paraId="4AB6CE1D" w14:textId="77777777" w:rsidR="0082326F" w:rsidRPr="0082326F" w:rsidRDefault="0082326F" w:rsidP="0082326F">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Ensure alignment with system strategic priorities.</w:t>
      </w:r>
    </w:p>
    <w:p w14:paraId="620DFCFC" w14:textId="77777777" w:rsidR="0082326F" w:rsidRPr="0082326F" w:rsidRDefault="0082326F" w:rsidP="0082326F">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Provide a unified voice for primary care.</w:t>
      </w:r>
    </w:p>
    <w:p w14:paraId="4DAF3034" w14:textId="235D7FA6" w:rsidR="0082326F" w:rsidRPr="0082326F" w:rsidRDefault="0082326F" w:rsidP="0082326F">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Act as ambassadors </w:t>
      </w:r>
      <w:r w:rsidR="00A74639">
        <w:rPr>
          <w:rFonts w:ascii="Times New Roman" w:eastAsia="Times New Roman" w:hAnsi="Times New Roman" w:cs="Times New Roman"/>
          <w:kern w:val="0"/>
          <w:lang w:eastAsia="en-GB"/>
          <w14:ligatures w14:val="none"/>
        </w:rPr>
        <w:t xml:space="preserve">for primary care </w:t>
      </w:r>
      <w:r w:rsidRPr="0082326F">
        <w:rPr>
          <w:rFonts w:ascii="Times New Roman" w:eastAsia="Times New Roman" w:hAnsi="Times New Roman" w:cs="Times New Roman"/>
          <w:kern w:val="0"/>
          <w:lang w:eastAsia="en-GB"/>
          <w14:ligatures w14:val="none"/>
        </w:rPr>
        <w:t>in system-wide discussions.</w:t>
      </w:r>
    </w:p>
    <w:p w14:paraId="54D920DE" w14:textId="23983DDC" w:rsidR="0082326F" w:rsidRPr="0082326F" w:rsidRDefault="0082326F" w:rsidP="0082326F">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Continuously </w:t>
      </w:r>
      <w:r w:rsidR="007318E6">
        <w:rPr>
          <w:rFonts w:ascii="Times New Roman" w:eastAsia="Times New Roman" w:hAnsi="Times New Roman" w:cs="Times New Roman"/>
          <w:kern w:val="0"/>
          <w:lang w:eastAsia="en-GB"/>
          <w14:ligatures w14:val="none"/>
        </w:rPr>
        <w:t xml:space="preserve">develop, agree and </w:t>
      </w:r>
      <w:r w:rsidRPr="0082326F">
        <w:rPr>
          <w:rFonts w:ascii="Times New Roman" w:eastAsia="Times New Roman" w:hAnsi="Times New Roman" w:cs="Times New Roman"/>
          <w:kern w:val="0"/>
          <w:lang w:eastAsia="en-GB"/>
          <w14:ligatures w14:val="none"/>
        </w:rPr>
        <w:t>update PCPC purpose and principles.</w:t>
      </w:r>
    </w:p>
    <w:p w14:paraId="28CEC6A8" w14:textId="77777777" w:rsidR="0082326F" w:rsidRPr="0082326F" w:rsidRDefault="0082326F" w:rsidP="0082326F">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Remain responsive to national policy and regulatory changes.</w:t>
      </w:r>
    </w:p>
    <w:p w14:paraId="71811E6D" w14:textId="365B589D" w:rsidR="0056440F" w:rsidRDefault="0082326F" w:rsidP="0056440F">
      <w:pPr>
        <w:pStyle w:val="ListParagraph"/>
        <w:numPr>
          <w:ilvl w:val="0"/>
          <w:numId w:val="8"/>
        </w:numPr>
        <w:rPr>
          <w:rFonts w:ascii="Times New Roman" w:eastAsia="Times New Roman" w:hAnsi="Times New Roman" w:cs="Times New Roman"/>
          <w:kern w:val="0"/>
          <w:lang w:eastAsia="en-GB"/>
          <w14:ligatures w14:val="none"/>
        </w:rPr>
      </w:pPr>
      <w:r w:rsidRPr="0056440F">
        <w:rPr>
          <w:rFonts w:ascii="Times New Roman" w:eastAsia="Times New Roman" w:hAnsi="Times New Roman" w:cs="Times New Roman"/>
          <w:kern w:val="0"/>
          <w:lang w:eastAsia="en-GB"/>
          <w14:ligatures w14:val="none"/>
        </w:rPr>
        <w:t>Manage conflicts of interest</w:t>
      </w:r>
      <w:r w:rsidR="0056440F" w:rsidRPr="0056440F">
        <w:t xml:space="preserve"> </w:t>
      </w:r>
      <w:r w:rsidR="0056440F" w:rsidRPr="0056440F">
        <w:rPr>
          <w:rFonts w:ascii="Times New Roman" w:eastAsia="Times New Roman" w:hAnsi="Times New Roman" w:cs="Times New Roman"/>
          <w:kern w:val="0"/>
          <w:lang w:eastAsia="en-GB"/>
          <w14:ligatures w14:val="none"/>
        </w:rPr>
        <w:t xml:space="preserve">in accordance with </w:t>
      </w:r>
      <w:r w:rsidR="0056440F">
        <w:rPr>
          <w:rFonts w:ascii="Times New Roman" w:eastAsia="Times New Roman" w:hAnsi="Times New Roman" w:cs="Times New Roman"/>
          <w:kern w:val="0"/>
          <w:lang w:eastAsia="en-GB"/>
          <w14:ligatures w14:val="none"/>
        </w:rPr>
        <w:t xml:space="preserve">member </w:t>
      </w:r>
      <w:r w:rsidR="0056440F" w:rsidRPr="0056440F">
        <w:rPr>
          <w:rFonts w:ascii="Times New Roman" w:eastAsia="Times New Roman" w:hAnsi="Times New Roman" w:cs="Times New Roman"/>
          <w:kern w:val="0"/>
          <w:lang w:eastAsia="en-GB"/>
          <w14:ligatures w14:val="none"/>
        </w:rPr>
        <w:t xml:space="preserve">organisation’s </w:t>
      </w:r>
      <w:r w:rsidR="00046A1B">
        <w:rPr>
          <w:rFonts w:ascii="Times New Roman" w:eastAsia="Times New Roman" w:hAnsi="Times New Roman" w:cs="Times New Roman"/>
          <w:kern w:val="0"/>
          <w:lang w:eastAsia="en-GB"/>
          <w14:ligatures w14:val="none"/>
        </w:rPr>
        <w:t>conflict of interest</w:t>
      </w:r>
      <w:r w:rsidR="0056440F" w:rsidRPr="0056440F">
        <w:rPr>
          <w:rFonts w:ascii="Times New Roman" w:eastAsia="Times New Roman" w:hAnsi="Times New Roman" w:cs="Times New Roman"/>
          <w:kern w:val="0"/>
          <w:lang w:eastAsia="en-GB"/>
          <w14:ligatures w14:val="none"/>
        </w:rPr>
        <w:t xml:space="preserve"> policies and statutory duties</w:t>
      </w:r>
      <w:r w:rsidR="0056440F">
        <w:rPr>
          <w:rFonts w:ascii="Times New Roman" w:eastAsia="Times New Roman" w:hAnsi="Times New Roman" w:cs="Times New Roman"/>
          <w:kern w:val="0"/>
          <w:lang w:eastAsia="en-GB"/>
          <w14:ligatures w14:val="none"/>
        </w:rPr>
        <w:t>.</w:t>
      </w:r>
    </w:p>
    <w:p w14:paraId="07087C1B" w14:textId="74627B96" w:rsidR="0082326F" w:rsidRPr="0056440F" w:rsidRDefault="0082326F" w:rsidP="0056440F">
      <w:pPr>
        <w:pStyle w:val="ListParagraph"/>
        <w:numPr>
          <w:ilvl w:val="0"/>
          <w:numId w:val="8"/>
        </w:numPr>
        <w:rPr>
          <w:rFonts w:ascii="Times New Roman" w:eastAsia="Times New Roman" w:hAnsi="Times New Roman" w:cs="Times New Roman"/>
          <w:kern w:val="0"/>
          <w:lang w:eastAsia="en-GB"/>
          <w14:ligatures w14:val="none"/>
        </w:rPr>
      </w:pPr>
      <w:r w:rsidRPr="0056440F">
        <w:rPr>
          <w:rFonts w:ascii="Times New Roman" w:eastAsia="Times New Roman" w:hAnsi="Times New Roman" w:cs="Times New Roman"/>
          <w:kern w:val="0"/>
          <w:lang w:eastAsia="en-GB"/>
          <w14:ligatures w14:val="none"/>
        </w:rPr>
        <w:t xml:space="preserve">Maintain confidentiality of </w:t>
      </w:r>
      <w:r w:rsidR="00297696">
        <w:rPr>
          <w:rFonts w:ascii="Times New Roman" w:eastAsia="Times New Roman" w:hAnsi="Times New Roman" w:cs="Times New Roman"/>
          <w:kern w:val="0"/>
          <w:lang w:eastAsia="en-GB"/>
          <w14:ligatures w14:val="none"/>
        </w:rPr>
        <w:t xml:space="preserve">privileged or </w:t>
      </w:r>
      <w:r w:rsidRPr="0056440F">
        <w:rPr>
          <w:rFonts w:ascii="Times New Roman" w:eastAsia="Times New Roman" w:hAnsi="Times New Roman" w:cs="Times New Roman"/>
          <w:kern w:val="0"/>
          <w:lang w:eastAsia="en-GB"/>
          <w14:ligatures w14:val="none"/>
        </w:rPr>
        <w:t>sensitive information.</w:t>
      </w:r>
    </w:p>
    <w:p w14:paraId="6B8DC224" w14:textId="77777777" w:rsidR="0082326F" w:rsidRPr="0082326F" w:rsidRDefault="00000000" w:rsidP="0082326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393E577">
          <v:rect id="_x0000_i1029" style="width:0;height:1.5pt" o:hralign="center" o:hrstd="t" o:hr="t" fillcolor="#a0a0a0" stroked="f"/>
        </w:pict>
      </w:r>
    </w:p>
    <w:p w14:paraId="385DD0F8" w14:textId="77777777" w:rsidR="0082326F" w:rsidRPr="0082326F" w:rsidRDefault="0082326F" w:rsidP="008232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2326F">
        <w:rPr>
          <w:rFonts w:ascii="Times New Roman" w:eastAsia="Times New Roman" w:hAnsi="Times New Roman" w:cs="Times New Roman"/>
          <w:b/>
          <w:bCs/>
          <w:kern w:val="0"/>
          <w:sz w:val="36"/>
          <w:szCs w:val="36"/>
          <w:lang w:eastAsia="en-GB"/>
          <w14:ligatures w14:val="none"/>
        </w:rPr>
        <w:t>5. Accountability</w:t>
      </w:r>
    </w:p>
    <w:p w14:paraId="02269789" w14:textId="08239270" w:rsidR="0082326F" w:rsidRPr="0082326F" w:rsidRDefault="0082326F" w:rsidP="0082326F">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Members remain accountable to their places, PCNs, practices, and local GP systems</w:t>
      </w:r>
      <w:r w:rsidR="00816723" w:rsidRPr="00816723">
        <w:rPr>
          <w:bCs/>
        </w:rPr>
        <w:t xml:space="preserve"> </w:t>
      </w:r>
      <w:r w:rsidR="00816723">
        <w:rPr>
          <w:rFonts w:ascii="Times New Roman" w:eastAsia="Times New Roman" w:hAnsi="Times New Roman" w:cs="Times New Roman"/>
          <w:bCs/>
          <w:kern w:val="0"/>
          <w:lang w:eastAsia="en-GB"/>
          <w14:ligatures w14:val="none"/>
        </w:rPr>
        <w:t>i</w:t>
      </w:r>
      <w:r w:rsidR="00816723" w:rsidRPr="00816723">
        <w:rPr>
          <w:rFonts w:ascii="Times New Roman" w:eastAsia="Times New Roman" w:hAnsi="Times New Roman" w:cs="Times New Roman"/>
          <w:bCs/>
          <w:kern w:val="0"/>
          <w:lang w:eastAsia="en-GB"/>
          <w14:ligatures w14:val="none"/>
        </w:rPr>
        <w:t>n line with the principle that the PCPC Board is not a separate legal entity, but a forum for discussion of issues with the aim of reaching consensus between members</w:t>
      </w:r>
      <w:r w:rsidR="0063068E">
        <w:rPr>
          <w:bCs/>
        </w:rPr>
        <w:t>.</w:t>
      </w:r>
    </w:p>
    <w:p w14:paraId="1D90034A" w14:textId="77777777" w:rsidR="0082326F" w:rsidRPr="0082326F" w:rsidRDefault="0082326F" w:rsidP="0082326F">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Regulatory accountability remains within each sovereign organisation.</w:t>
      </w:r>
    </w:p>
    <w:p w14:paraId="38DB0148" w14:textId="77777777" w:rsidR="0082326F" w:rsidRPr="0082326F" w:rsidRDefault="00000000" w:rsidP="0082326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BD6CFCF">
          <v:rect id="_x0000_i1030" style="width:0;height:1.5pt" o:hralign="center" o:hrstd="t" o:hr="t" fillcolor="#a0a0a0" stroked="f"/>
        </w:pict>
      </w:r>
    </w:p>
    <w:p w14:paraId="44CCF801" w14:textId="77777777" w:rsidR="0082326F" w:rsidRPr="0082326F" w:rsidRDefault="0082326F" w:rsidP="008232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2326F">
        <w:rPr>
          <w:rFonts w:ascii="Times New Roman" w:eastAsia="Times New Roman" w:hAnsi="Times New Roman" w:cs="Times New Roman"/>
          <w:b/>
          <w:bCs/>
          <w:kern w:val="0"/>
          <w:sz w:val="36"/>
          <w:szCs w:val="36"/>
          <w:lang w:eastAsia="en-GB"/>
          <w14:ligatures w14:val="none"/>
        </w:rPr>
        <w:t>6. Structure and Membership</w:t>
      </w:r>
    </w:p>
    <w:p w14:paraId="065317D5" w14:textId="77777777"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b/>
          <w:bCs/>
          <w:kern w:val="0"/>
          <w:lang w:eastAsia="en-GB"/>
          <w14:ligatures w14:val="none"/>
        </w:rPr>
        <w:t>Suggested Board Composition</w:t>
      </w:r>
    </w:p>
    <w:p w14:paraId="3CC5F536" w14:textId="77777777" w:rsidR="0082326F" w:rsidRPr="0082326F" w:rsidRDefault="0082326F" w:rsidP="0082326F">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GP (PCN Clinical Director), pharmacy, optometry, and dentistry leads for each place.</w:t>
      </w:r>
    </w:p>
    <w:p w14:paraId="115CE040" w14:textId="5353FC2C" w:rsidR="0082326F" w:rsidRPr="0082326F" w:rsidRDefault="0082326F" w:rsidP="0082326F">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LMC leads (and potentially LDC, LOC, LPCs). LMCs may best act as non-voting members to influence and advise</w:t>
      </w:r>
      <w:r w:rsidR="00DD49FF" w:rsidRPr="00DD49FF">
        <w:t xml:space="preserve"> </w:t>
      </w:r>
      <w:r w:rsidR="00DD49FF" w:rsidRPr="00DD49FF">
        <w:rPr>
          <w:rFonts w:ascii="Times New Roman" w:eastAsia="Times New Roman" w:hAnsi="Times New Roman" w:cs="Times New Roman"/>
          <w:kern w:val="0"/>
          <w:lang w:eastAsia="en-GB"/>
          <w14:ligatures w14:val="none"/>
        </w:rPr>
        <w:t>whilst ensuring that practices have a voice</w:t>
      </w:r>
      <w:r w:rsidRPr="0082326F">
        <w:rPr>
          <w:rFonts w:ascii="Times New Roman" w:eastAsia="Times New Roman" w:hAnsi="Times New Roman" w:cs="Times New Roman"/>
          <w:kern w:val="0"/>
          <w:lang w:eastAsia="en-GB"/>
          <w14:ligatures w14:val="none"/>
        </w:rPr>
        <w:t>.</w:t>
      </w:r>
    </w:p>
    <w:p w14:paraId="3313C39A" w14:textId="77777777" w:rsidR="0082326F" w:rsidRPr="0082326F" w:rsidRDefault="0082326F" w:rsidP="0082326F">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Practice manager leads for each place.</w:t>
      </w:r>
    </w:p>
    <w:p w14:paraId="1843C84F" w14:textId="77777777" w:rsidR="0082326F" w:rsidRPr="0082326F" w:rsidRDefault="0082326F" w:rsidP="0082326F">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Independent Chair and Deputy (two-year term).</w:t>
      </w:r>
    </w:p>
    <w:p w14:paraId="7B683E9C" w14:textId="77777777" w:rsidR="0082326F" w:rsidRPr="0082326F" w:rsidRDefault="0082326F" w:rsidP="0082326F">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Non-voting administrator.</w:t>
      </w:r>
    </w:p>
    <w:p w14:paraId="6936E48D" w14:textId="1B70ECED" w:rsidR="0082326F" w:rsidRDefault="0082326F" w:rsidP="0082326F">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Invitees </w:t>
      </w:r>
      <w:r w:rsidR="00EE3456">
        <w:rPr>
          <w:rFonts w:ascii="Times New Roman" w:eastAsia="Times New Roman" w:hAnsi="Times New Roman" w:cs="Times New Roman"/>
          <w:kern w:val="0"/>
          <w:lang w:eastAsia="en-GB"/>
          <w14:ligatures w14:val="none"/>
        </w:rPr>
        <w:t xml:space="preserve">by invitation </w:t>
      </w:r>
      <w:r w:rsidRPr="0082326F">
        <w:rPr>
          <w:rFonts w:ascii="Times New Roman" w:eastAsia="Times New Roman" w:hAnsi="Times New Roman" w:cs="Times New Roman"/>
          <w:kern w:val="0"/>
          <w:lang w:eastAsia="en-GB"/>
          <w14:ligatures w14:val="none"/>
        </w:rPr>
        <w:t>as needed (e.g. ICB staff, project leads).</w:t>
      </w:r>
    </w:p>
    <w:p w14:paraId="1683415D" w14:textId="3C7805DC" w:rsidR="00AD03F0" w:rsidRPr="0082326F" w:rsidRDefault="00AD03F0" w:rsidP="0082326F">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w:t>
      </w:r>
      <w:r w:rsidRPr="00AD03F0">
        <w:rPr>
          <w:rFonts w:ascii="Times New Roman" w:eastAsia="Times New Roman" w:hAnsi="Times New Roman" w:cs="Times New Roman"/>
          <w:kern w:val="0"/>
          <w:lang w:eastAsia="en-GB"/>
          <w14:ligatures w14:val="none"/>
        </w:rPr>
        <w:t>utline the “Place” level infrastructure, roles and responsibilities dependant on the geographical area your PCPC needs to cover</w:t>
      </w:r>
      <w:r w:rsidR="00C46CA6">
        <w:rPr>
          <w:rFonts w:ascii="Times New Roman" w:eastAsia="Times New Roman" w:hAnsi="Times New Roman" w:cs="Times New Roman"/>
          <w:kern w:val="0"/>
          <w:lang w:eastAsia="en-GB"/>
          <w14:ligatures w14:val="none"/>
        </w:rPr>
        <w:t>.</w:t>
      </w:r>
    </w:p>
    <w:p w14:paraId="79EAD50D" w14:textId="77777777" w:rsidR="0082326F" w:rsidRPr="0082326F" w:rsidRDefault="00000000" w:rsidP="0082326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pict w14:anchorId="7AEF2EA8">
          <v:rect id="_x0000_i1031" style="width:0;height:1.5pt" o:hralign="center" o:hrstd="t" o:hr="t" fillcolor="#a0a0a0" stroked="f"/>
        </w:pict>
      </w:r>
    </w:p>
    <w:p w14:paraId="40FC6023" w14:textId="77777777" w:rsidR="0082326F" w:rsidRPr="0082326F" w:rsidRDefault="0082326F" w:rsidP="008232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2326F">
        <w:rPr>
          <w:rFonts w:ascii="Times New Roman" w:eastAsia="Times New Roman" w:hAnsi="Times New Roman" w:cs="Times New Roman"/>
          <w:b/>
          <w:bCs/>
          <w:kern w:val="0"/>
          <w:sz w:val="36"/>
          <w:szCs w:val="36"/>
          <w:lang w:eastAsia="en-GB"/>
          <w14:ligatures w14:val="none"/>
        </w:rPr>
        <w:t>7. Meetings – Quoracy and Decision-Making</w:t>
      </w:r>
    </w:p>
    <w:p w14:paraId="2D0107D7" w14:textId="7D658E38" w:rsidR="0082326F" w:rsidRPr="0082326F" w:rsidRDefault="0082326F" w:rsidP="0082326F">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Monthly or fortnightly meetings, with informal dialogue in between</w:t>
      </w:r>
      <w:r w:rsidR="005E3073">
        <w:rPr>
          <w:rFonts w:ascii="Times New Roman" w:eastAsia="Times New Roman" w:hAnsi="Times New Roman" w:cs="Times New Roman"/>
          <w:kern w:val="0"/>
          <w:lang w:eastAsia="en-GB"/>
          <w14:ligatures w14:val="none"/>
        </w:rPr>
        <w:t xml:space="preserve"> as required.</w:t>
      </w:r>
    </w:p>
    <w:p w14:paraId="1B9696E1" w14:textId="77777777" w:rsidR="0082326F" w:rsidRPr="0082326F" w:rsidRDefault="0082326F" w:rsidP="0082326F">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Held virtually or in person.</w:t>
      </w:r>
    </w:p>
    <w:p w14:paraId="7B26EC0F" w14:textId="77777777" w:rsidR="0082326F" w:rsidRPr="0082326F" w:rsidRDefault="0082326F" w:rsidP="0082326F">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Agenda set by Board and Chair, circulated at least 5 days in advance.</w:t>
      </w:r>
    </w:p>
    <w:p w14:paraId="1F3AEFBE" w14:textId="24626693" w:rsidR="0082326F" w:rsidRPr="0082326F" w:rsidRDefault="0082326F" w:rsidP="0082326F">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Quorum: minimum of 4 members</w:t>
      </w:r>
      <w:r w:rsidR="001C3EAE">
        <w:rPr>
          <w:rFonts w:ascii="Times New Roman" w:eastAsia="Times New Roman" w:hAnsi="Times New Roman" w:cs="Times New Roman"/>
          <w:kern w:val="0"/>
          <w:lang w:eastAsia="en-GB"/>
          <w14:ligatures w14:val="none"/>
        </w:rPr>
        <w:t xml:space="preserve"> in attendance</w:t>
      </w:r>
      <w:r w:rsidRPr="0082326F">
        <w:rPr>
          <w:rFonts w:ascii="Times New Roman" w:eastAsia="Times New Roman" w:hAnsi="Times New Roman" w:cs="Times New Roman"/>
          <w:kern w:val="0"/>
          <w:lang w:eastAsia="en-GB"/>
          <w14:ligatures w14:val="none"/>
        </w:rPr>
        <w:t>, including Chair/Deputy.</w:t>
      </w:r>
    </w:p>
    <w:p w14:paraId="330BFBE7" w14:textId="77777777" w:rsidR="0082326F" w:rsidRPr="0082326F" w:rsidRDefault="0082326F" w:rsidP="0082326F">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Decisions made by consensus where possible.</w:t>
      </w:r>
    </w:p>
    <w:p w14:paraId="6DCBA961" w14:textId="77777777" w:rsidR="0082326F" w:rsidRPr="0082326F" w:rsidRDefault="00000000" w:rsidP="0082326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4DDE9FA">
          <v:rect id="_x0000_i1032" style="width:0;height:1.5pt" o:hralign="center" o:hrstd="t" o:hr="t" fillcolor="#a0a0a0" stroked="f"/>
        </w:pict>
      </w:r>
    </w:p>
    <w:p w14:paraId="392DCD9F" w14:textId="77777777" w:rsidR="0082326F" w:rsidRPr="0082326F" w:rsidRDefault="0082326F" w:rsidP="008232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2326F">
        <w:rPr>
          <w:rFonts w:ascii="Times New Roman" w:eastAsia="Times New Roman" w:hAnsi="Times New Roman" w:cs="Times New Roman"/>
          <w:b/>
          <w:bCs/>
          <w:kern w:val="0"/>
          <w:sz w:val="36"/>
          <w:szCs w:val="36"/>
          <w:lang w:eastAsia="en-GB"/>
          <w14:ligatures w14:val="none"/>
        </w:rPr>
        <w:t>8. Delegation</w:t>
      </w:r>
    </w:p>
    <w:p w14:paraId="2D362F72" w14:textId="77777777"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Activities may be delegated to:</w:t>
      </w:r>
    </w:p>
    <w:p w14:paraId="12C6E45C" w14:textId="77777777" w:rsidR="0082326F" w:rsidRPr="0082326F" w:rsidRDefault="0082326F" w:rsidP="0082326F">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LMCs</w:t>
      </w:r>
    </w:p>
    <w:p w14:paraId="73335CE2" w14:textId="77777777" w:rsidR="0082326F" w:rsidRPr="0082326F" w:rsidRDefault="0082326F" w:rsidP="0082326F">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Practice Manager Associations</w:t>
      </w:r>
    </w:p>
    <w:p w14:paraId="147F448A" w14:textId="77777777" w:rsidR="0082326F" w:rsidRPr="0082326F" w:rsidRDefault="0082326F" w:rsidP="0082326F">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GP Federations</w:t>
      </w:r>
    </w:p>
    <w:p w14:paraId="71750E1D" w14:textId="77777777" w:rsidR="0082326F" w:rsidRPr="0082326F" w:rsidRDefault="0082326F" w:rsidP="0082326F">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Community Pharmacy, Optometry, Dentistry</w:t>
      </w:r>
    </w:p>
    <w:p w14:paraId="0E7109A6" w14:textId="77777777" w:rsidR="00E06436" w:rsidRPr="00E06436" w:rsidRDefault="0082326F" w:rsidP="001D1656">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Delegation must uphold subsidiarity and sustainability.</w:t>
      </w:r>
    </w:p>
    <w:p w14:paraId="32AB6047" w14:textId="66675B96" w:rsidR="0082326F" w:rsidRPr="0082326F" w:rsidRDefault="001D1656" w:rsidP="0082326F">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t xml:space="preserve">The PCPC will </w:t>
      </w:r>
      <w:r w:rsidRPr="001D1656">
        <w:rPr>
          <w:rFonts w:ascii="Times New Roman" w:eastAsia="Times New Roman" w:hAnsi="Times New Roman" w:cs="Times New Roman"/>
          <w:kern w:val="0"/>
          <w:lang w:eastAsia="en-GB"/>
          <w14:ligatures w14:val="none"/>
        </w:rPr>
        <w:t>retain an assurance function in these activities</w:t>
      </w:r>
      <w:r w:rsidR="00E06436">
        <w:rPr>
          <w:rFonts w:ascii="Times New Roman" w:eastAsia="Times New Roman" w:hAnsi="Times New Roman" w:cs="Times New Roman"/>
          <w:kern w:val="0"/>
          <w:lang w:eastAsia="en-GB"/>
          <w14:ligatures w14:val="none"/>
        </w:rPr>
        <w:t>.</w:t>
      </w:r>
    </w:p>
    <w:p w14:paraId="73995370" w14:textId="77777777" w:rsidR="0082326F" w:rsidRPr="0082326F" w:rsidRDefault="00000000" w:rsidP="0082326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065FAE8">
          <v:rect id="_x0000_i1033" style="width:0;height:1.5pt" o:hralign="center" o:hrstd="t" o:hr="t" fillcolor="#a0a0a0" stroked="f"/>
        </w:pict>
      </w:r>
    </w:p>
    <w:p w14:paraId="5C22F31C" w14:textId="77777777" w:rsidR="0082326F" w:rsidRPr="0082326F" w:rsidRDefault="0082326F" w:rsidP="008232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2326F">
        <w:rPr>
          <w:rFonts w:ascii="Times New Roman" w:eastAsia="Times New Roman" w:hAnsi="Times New Roman" w:cs="Times New Roman"/>
          <w:b/>
          <w:bCs/>
          <w:kern w:val="0"/>
          <w:sz w:val="36"/>
          <w:szCs w:val="36"/>
          <w:lang w:eastAsia="en-GB"/>
          <w14:ligatures w14:val="none"/>
        </w:rPr>
        <w:t>9. Administration</w:t>
      </w:r>
    </w:p>
    <w:p w14:paraId="43D56A17" w14:textId="77777777" w:rsidR="0082326F" w:rsidRDefault="0082326F" w:rsidP="0082326F">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Secretariat to prepare agendas, minutes, and action logs.</w:t>
      </w:r>
    </w:p>
    <w:p w14:paraId="536357A5" w14:textId="2B7C9E8D" w:rsidR="00EC2551" w:rsidRPr="0082326F" w:rsidRDefault="00EC2551" w:rsidP="0082326F">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C2551">
        <w:rPr>
          <w:rFonts w:ascii="Times New Roman" w:eastAsia="Times New Roman" w:hAnsi="Times New Roman" w:cs="Times New Roman"/>
          <w:kern w:val="0"/>
          <w:lang w:eastAsia="en-GB"/>
          <w14:ligatures w14:val="none"/>
        </w:rPr>
        <w:t>Monitor progress against actions.</w:t>
      </w:r>
    </w:p>
    <w:p w14:paraId="6D53C3ED" w14:textId="34D5E3B4" w:rsidR="0082326F" w:rsidRPr="0082326F" w:rsidRDefault="0082326F" w:rsidP="0082326F">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Maintain </w:t>
      </w:r>
      <w:r w:rsidR="00AF452D">
        <w:rPr>
          <w:rFonts w:ascii="Times New Roman" w:eastAsia="Times New Roman" w:hAnsi="Times New Roman" w:cs="Times New Roman"/>
          <w:kern w:val="0"/>
          <w:lang w:eastAsia="en-GB"/>
          <w14:ligatures w14:val="none"/>
        </w:rPr>
        <w:t xml:space="preserve">a </w:t>
      </w:r>
      <w:r w:rsidRPr="0082326F">
        <w:rPr>
          <w:rFonts w:ascii="Times New Roman" w:eastAsia="Times New Roman" w:hAnsi="Times New Roman" w:cs="Times New Roman"/>
          <w:kern w:val="0"/>
          <w:lang w:eastAsia="en-GB"/>
          <w14:ligatures w14:val="none"/>
        </w:rPr>
        <w:t>register of interests</w:t>
      </w:r>
      <w:r w:rsidR="00AF452D">
        <w:rPr>
          <w:rFonts w:ascii="Times New Roman" w:eastAsia="Times New Roman" w:hAnsi="Times New Roman" w:cs="Times New Roman"/>
          <w:kern w:val="0"/>
          <w:lang w:eastAsia="en-GB"/>
          <w14:ligatures w14:val="none"/>
        </w:rPr>
        <w:t xml:space="preserve"> of members</w:t>
      </w:r>
      <w:r w:rsidRPr="0082326F">
        <w:rPr>
          <w:rFonts w:ascii="Times New Roman" w:eastAsia="Times New Roman" w:hAnsi="Times New Roman" w:cs="Times New Roman"/>
          <w:kern w:val="0"/>
          <w:lang w:eastAsia="en-GB"/>
          <w14:ligatures w14:val="none"/>
        </w:rPr>
        <w:t>.</w:t>
      </w:r>
    </w:p>
    <w:p w14:paraId="4190578E" w14:textId="4D50AE7B" w:rsidR="0082326F" w:rsidRPr="0082326F" w:rsidRDefault="0082326F" w:rsidP="0082326F">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Ma</w:t>
      </w:r>
      <w:r w:rsidR="00D20069">
        <w:rPr>
          <w:rFonts w:ascii="Times New Roman" w:eastAsia="Times New Roman" w:hAnsi="Times New Roman" w:cs="Times New Roman"/>
          <w:kern w:val="0"/>
          <w:lang w:eastAsia="en-GB"/>
          <w14:ligatures w14:val="none"/>
        </w:rPr>
        <w:t>intain</w:t>
      </w:r>
      <w:r w:rsidRPr="0082326F">
        <w:rPr>
          <w:rFonts w:ascii="Times New Roman" w:eastAsia="Times New Roman" w:hAnsi="Times New Roman" w:cs="Times New Roman"/>
          <w:kern w:val="0"/>
          <w:lang w:eastAsia="en-GB"/>
          <w14:ligatures w14:val="none"/>
        </w:rPr>
        <w:t xml:space="preserve"> communication and document </w:t>
      </w:r>
      <w:r w:rsidR="00D20069">
        <w:rPr>
          <w:rFonts w:ascii="Times New Roman" w:eastAsia="Times New Roman" w:hAnsi="Times New Roman" w:cs="Times New Roman"/>
          <w:kern w:val="0"/>
          <w:lang w:eastAsia="en-GB"/>
          <w14:ligatures w14:val="none"/>
        </w:rPr>
        <w:t>management</w:t>
      </w:r>
      <w:r w:rsidRPr="0082326F">
        <w:rPr>
          <w:rFonts w:ascii="Times New Roman" w:eastAsia="Times New Roman" w:hAnsi="Times New Roman" w:cs="Times New Roman"/>
          <w:kern w:val="0"/>
          <w:lang w:eastAsia="en-GB"/>
          <w14:ligatures w14:val="none"/>
        </w:rPr>
        <w:t>.</w:t>
      </w:r>
    </w:p>
    <w:p w14:paraId="597BB12F" w14:textId="07A5E7A3" w:rsidR="0082326F" w:rsidRPr="0082326F" w:rsidRDefault="002B36C5" w:rsidP="0082326F">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Communicate key </w:t>
      </w:r>
      <w:r w:rsidR="0082326F" w:rsidRPr="0082326F">
        <w:rPr>
          <w:rFonts w:ascii="Times New Roman" w:eastAsia="Times New Roman" w:hAnsi="Times New Roman" w:cs="Times New Roman"/>
          <w:kern w:val="0"/>
          <w:lang w:eastAsia="en-GB"/>
          <w14:ligatures w14:val="none"/>
        </w:rPr>
        <w:t xml:space="preserve">priorities and rationale </w:t>
      </w:r>
      <w:r>
        <w:rPr>
          <w:rFonts w:ascii="Times New Roman" w:eastAsia="Times New Roman" w:hAnsi="Times New Roman" w:cs="Times New Roman"/>
          <w:kern w:val="0"/>
          <w:lang w:eastAsia="en-GB"/>
          <w14:ligatures w14:val="none"/>
        </w:rPr>
        <w:t xml:space="preserve">for decision making </w:t>
      </w:r>
      <w:r w:rsidR="0082326F" w:rsidRPr="0082326F">
        <w:rPr>
          <w:rFonts w:ascii="Times New Roman" w:eastAsia="Times New Roman" w:hAnsi="Times New Roman" w:cs="Times New Roman"/>
          <w:kern w:val="0"/>
          <w:lang w:eastAsia="en-GB"/>
          <w14:ligatures w14:val="none"/>
        </w:rPr>
        <w:t>via newsletters, forums, LMC meetings, WhatsApp, PCN meetings, etc.</w:t>
      </w:r>
    </w:p>
    <w:p w14:paraId="794946AA" w14:textId="77777777" w:rsidR="0082326F" w:rsidRPr="0082326F" w:rsidRDefault="00000000" w:rsidP="0082326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3575D04">
          <v:rect id="_x0000_i1034" style="width:0;height:1.5pt" o:hralign="center" o:hrstd="t" o:hr="t" fillcolor="#a0a0a0" stroked="f"/>
        </w:pict>
      </w:r>
    </w:p>
    <w:p w14:paraId="0B28EBDC" w14:textId="77777777" w:rsidR="0082326F" w:rsidRPr="0082326F" w:rsidRDefault="0082326F" w:rsidP="008232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2326F">
        <w:rPr>
          <w:rFonts w:ascii="Times New Roman" w:eastAsia="Times New Roman" w:hAnsi="Times New Roman" w:cs="Times New Roman"/>
          <w:b/>
          <w:bCs/>
          <w:kern w:val="0"/>
          <w:sz w:val="36"/>
          <w:szCs w:val="36"/>
          <w:lang w:eastAsia="en-GB"/>
          <w14:ligatures w14:val="none"/>
        </w:rPr>
        <w:t>10. Review and Evaluation</w:t>
      </w:r>
    </w:p>
    <w:p w14:paraId="3BED1364" w14:textId="7DB54A60" w:rsidR="0082326F" w:rsidRPr="0082326F" w:rsidRDefault="00137653" w:rsidP="0082326F">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Obtain r</w:t>
      </w:r>
      <w:r w:rsidR="0082326F" w:rsidRPr="0082326F">
        <w:rPr>
          <w:rFonts w:ascii="Times New Roman" w:eastAsia="Times New Roman" w:hAnsi="Times New Roman" w:cs="Times New Roman"/>
          <w:kern w:val="0"/>
          <w:lang w:eastAsia="en-GB"/>
          <w14:ligatures w14:val="none"/>
        </w:rPr>
        <w:t>egular feedback on communication methods.</w:t>
      </w:r>
    </w:p>
    <w:p w14:paraId="110DAD36" w14:textId="77777777" w:rsidR="0082326F" w:rsidRPr="0082326F" w:rsidRDefault="0082326F" w:rsidP="0082326F">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Annual TOR review.</w:t>
      </w:r>
    </w:p>
    <w:p w14:paraId="54BAA7D7" w14:textId="77777777" w:rsidR="0082326F" w:rsidRPr="0082326F" w:rsidRDefault="0082326F" w:rsidP="0082326F">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Changes require Board approval.</w:t>
      </w:r>
    </w:p>
    <w:p w14:paraId="17C5B7ED" w14:textId="77777777" w:rsidR="0082326F" w:rsidRPr="0082326F" w:rsidRDefault="00000000" w:rsidP="0082326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99827EA">
          <v:rect id="_x0000_i1035" style="width:0;height:1.5pt" o:hralign="center" o:hrstd="t" o:hr="t" fillcolor="#a0a0a0" stroked="f"/>
        </w:pict>
      </w:r>
    </w:p>
    <w:p w14:paraId="172DCA41" w14:textId="77777777" w:rsidR="0082326F" w:rsidRPr="0082326F" w:rsidRDefault="0082326F" w:rsidP="008232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2326F">
        <w:rPr>
          <w:rFonts w:ascii="Times New Roman" w:eastAsia="Times New Roman" w:hAnsi="Times New Roman" w:cs="Times New Roman"/>
          <w:b/>
          <w:bCs/>
          <w:kern w:val="0"/>
          <w:sz w:val="36"/>
          <w:szCs w:val="36"/>
          <w:lang w:eastAsia="en-GB"/>
          <w14:ligatures w14:val="none"/>
        </w:rPr>
        <w:t>Further Considerations for LMCs</w:t>
      </w:r>
    </w:p>
    <w:p w14:paraId="52B4DA35" w14:textId="77777777"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b/>
          <w:bCs/>
          <w:kern w:val="0"/>
          <w:lang w:eastAsia="en-GB"/>
          <w14:ligatures w14:val="none"/>
        </w:rPr>
        <w:lastRenderedPageBreak/>
        <w:t>1. Sustainable Pace</w:t>
      </w:r>
    </w:p>
    <w:p w14:paraId="7F23FEBD" w14:textId="270F9507" w:rsidR="0082326F" w:rsidRPr="0082326F" w:rsidRDefault="0082326F" w:rsidP="0082326F">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Avoid rushing </w:t>
      </w:r>
      <w:r w:rsidR="0021666D">
        <w:rPr>
          <w:rFonts w:ascii="Times New Roman" w:eastAsia="Times New Roman" w:hAnsi="Times New Roman" w:cs="Times New Roman"/>
          <w:kern w:val="0"/>
          <w:lang w:eastAsia="en-GB"/>
          <w14:ligatures w14:val="none"/>
        </w:rPr>
        <w:t xml:space="preserve">through </w:t>
      </w:r>
      <w:r w:rsidRPr="0082326F">
        <w:rPr>
          <w:rFonts w:ascii="Times New Roman" w:eastAsia="Times New Roman" w:hAnsi="Times New Roman" w:cs="Times New Roman"/>
          <w:kern w:val="0"/>
          <w:lang w:eastAsia="en-GB"/>
          <w14:ligatures w14:val="none"/>
        </w:rPr>
        <w:t xml:space="preserve">structural changes without </w:t>
      </w:r>
      <w:r w:rsidR="004975F1">
        <w:rPr>
          <w:rFonts w:ascii="Times New Roman" w:eastAsia="Times New Roman" w:hAnsi="Times New Roman" w:cs="Times New Roman"/>
          <w:kern w:val="0"/>
          <w:lang w:eastAsia="en-GB"/>
          <w14:ligatures w14:val="none"/>
        </w:rPr>
        <w:t xml:space="preserve">necessary </w:t>
      </w:r>
      <w:r w:rsidRPr="0082326F">
        <w:rPr>
          <w:rFonts w:ascii="Times New Roman" w:eastAsia="Times New Roman" w:hAnsi="Times New Roman" w:cs="Times New Roman"/>
          <w:kern w:val="0"/>
          <w:lang w:eastAsia="en-GB"/>
          <w14:ligatures w14:val="none"/>
        </w:rPr>
        <w:t xml:space="preserve">governance or sufficient </w:t>
      </w:r>
      <w:r w:rsidR="004975F1">
        <w:rPr>
          <w:rFonts w:ascii="Times New Roman" w:eastAsia="Times New Roman" w:hAnsi="Times New Roman" w:cs="Times New Roman"/>
          <w:kern w:val="0"/>
          <w:lang w:eastAsia="en-GB"/>
          <w14:ligatures w14:val="none"/>
        </w:rPr>
        <w:t xml:space="preserve">support from the </w:t>
      </w:r>
      <w:r w:rsidRPr="0082326F">
        <w:rPr>
          <w:rFonts w:ascii="Times New Roman" w:eastAsia="Times New Roman" w:hAnsi="Times New Roman" w:cs="Times New Roman"/>
          <w:kern w:val="0"/>
          <w:lang w:eastAsia="en-GB"/>
          <w14:ligatures w14:val="none"/>
        </w:rPr>
        <w:t>profession.</w:t>
      </w:r>
    </w:p>
    <w:p w14:paraId="22F0908C" w14:textId="77777777" w:rsidR="0082326F" w:rsidRPr="0082326F" w:rsidRDefault="0082326F" w:rsidP="0082326F">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Be proactive rather than reactive.</w:t>
      </w:r>
    </w:p>
    <w:p w14:paraId="01E61651" w14:textId="77777777"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b/>
          <w:bCs/>
          <w:kern w:val="0"/>
          <w:lang w:eastAsia="en-GB"/>
          <w14:ligatures w14:val="none"/>
        </w:rPr>
        <w:t>2. Funding</w:t>
      </w:r>
    </w:p>
    <w:p w14:paraId="72F2D187" w14:textId="77777777" w:rsidR="0082326F" w:rsidRPr="0082326F" w:rsidRDefault="0082326F" w:rsidP="0082326F">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Currently no dedicated funding for PCPCs.</w:t>
      </w:r>
    </w:p>
    <w:p w14:paraId="685D1969" w14:textId="71543CE3" w:rsidR="0082326F" w:rsidRPr="0082326F" w:rsidRDefault="0082326F" w:rsidP="00B76E4B">
      <w:pPr>
        <w:numPr>
          <w:ilvl w:val="0"/>
          <w:numId w:val="16"/>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82326F">
        <w:rPr>
          <w:rFonts w:ascii="Times New Roman" w:eastAsia="Times New Roman" w:hAnsi="Times New Roman" w:cs="Times New Roman"/>
          <w:kern w:val="0"/>
          <w:lang w:eastAsia="en-GB"/>
          <w14:ligatures w14:val="none"/>
        </w:rPr>
        <w:t xml:space="preserve">Explore ICB funding </w:t>
      </w:r>
      <w:r w:rsidR="00224DD0">
        <w:rPr>
          <w:rFonts w:ascii="Times New Roman" w:eastAsia="Times New Roman" w:hAnsi="Times New Roman" w:cs="Times New Roman"/>
          <w:kern w:val="0"/>
          <w:lang w:eastAsia="en-GB"/>
          <w14:ligatures w14:val="none"/>
        </w:rPr>
        <w:t>opportunities</w:t>
      </w:r>
      <w:r w:rsidR="00A22BF4">
        <w:rPr>
          <w:rFonts w:ascii="Times New Roman" w:eastAsia="Times New Roman" w:hAnsi="Times New Roman" w:cs="Times New Roman"/>
          <w:kern w:val="0"/>
          <w:lang w:eastAsia="en-GB"/>
          <w14:ligatures w14:val="none"/>
        </w:rPr>
        <w:t xml:space="preserve"> for meeting attendance</w:t>
      </w:r>
      <w:r w:rsidR="00772ABA">
        <w:rPr>
          <w:rFonts w:ascii="Times New Roman" w:eastAsia="Times New Roman" w:hAnsi="Times New Roman" w:cs="Times New Roman"/>
          <w:kern w:val="0"/>
          <w:lang w:eastAsia="en-GB"/>
          <w14:ligatures w14:val="none"/>
        </w:rPr>
        <w:t>. Use</w:t>
      </w:r>
      <w:r w:rsidR="00772ABA" w:rsidRPr="00772ABA">
        <w:rPr>
          <w:rFonts w:ascii="Times New Roman" w:eastAsia="Times New Roman" w:hAnsi="Times New Roman" w:cs="Times New Roman"/>
          <w:kern w:val="0"/>
          <w:lang w:eastAsia="en-GB"/>
          <w14:ligatures w14:val="none"/>
        </w:rPr>
        <w:t xml:space="preserve"> existing examples of delegated </w:t>
      </w:r>
      <w:r w:rsidR="009A15F8">
        <w:rPr>
          <w:rFonts w:ascii="Times New Roman" w:eastAsia="Times New Roman" w:hAnsi="Times New Roman" w:cs="Times New Roman"/>
          <w:kern w:val="0"/>
          <w:lang w:eastAsia="en-GB"/>
          <w14:ligatures w14:val="none"/>
        </w:rPr>
        <w:t>‘p</w:t>
      </w:r>
      <w:r w:rsidR="00772ABA" w:rsidRPr="00772ABA">
        <w:rPr>
          <w:rFonts w:ascii="Times New Roman" w:eastAsia="Times New Roman" w:hAnsi="Times New Roman" w:cs="Times New Roman"/>
          <w:kern w:val="0"/>
          <w:lang w:eastAsia="en-GB"/>
          <w14:ligatures w14:val="none"/>
        </w:rPr>
        <w:t>lace</w:t>
      </w:r>
      <w:r w:rsidR="009A15F8">
        <w:rPr>
          <w:rFonts w:ascii="Times New Roman" w:eastAsia="Times New Roman" w:hAnsi="Times New Roman" w:cs="Times New Roman"/>
          <w:kern w:val="0"/>
          <w:lang w:eastAsia="en-GB"/>
          <w14:ligatures w14:val="none"/>
        </w:rPr>
        <w:t>’</w:t>
      </w:r>
      <w:r w:rsidR="00772ABA" w:rsidRPr="00772ABA">
        <w:rPr>
          <w:rFonts w:ascii="Times New Roman" w:eastAsia="Times New Roman" w:hAnsi="Times New Roman" w:cs="Times New Roman"/>
          <w:kern w:val="0"/>
          <w:lang w:eastAsia="en-GB"/>
          <w14:ligatures w14:val="none"/>
        </w:rPr>
        <w:t xml:space="preserve"> budgets and QI capability to evidence a demonstration of commitment to developing neighbourhood health.</w:t>
      </w:r>
    </w:p>
    <w:p w14:paraId="56A4BB2B" w14:textId="70D8611C" w:rsidR="0082326F" w:rsidRPr="0082326F" w:rsidRDefault="0082326F" w:rsidP="0082326F">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LMCs may choose to fund their attendance via </w:t>
      </w:r>
      <w:r w:rsidR="00A53018">
        <w:rPr>
          <w:rFonts w:ascii="Times New Roman" w:eastAsia="Times New Roman" w:hAnsi="Times New Roman" w:cs="Times New Roman"/>
          <w:kern w:val="0"/>
          <w:lang w:eastAsia="en-GB"/>
          <w14:ligatures w14:val="none"/>
        </w:rPr>
        <w:t xml:space="preserve">the </w:t>
      </w:r>
      <w:r w:rsidRPr="0082326F">
        <w:rPr>
          <w:rFonts w:ascii="Times New Roman" w:eastAsia="Times New Roman" w:hAnsi="Times New Roman" w:cs="Times New Roman"/>
          <w:kern w:val="0"/>
          <w:lang w:eastAsia="en-GB"/>
          <w14:ligatures w14:val="none"/>
        </w:rPr>
        <w:t xml:space="preserve">levy </w:t>
      </w:r>
      <w:r w:rsidR="00A53018">
        <w:rPr>
          <w:rFonts w:ascii="Times New Roman" w:eastAsia="Times New Roman" w:hAnsi="Times New Roman" w:cs="Times New Roman"/>
          <w:kern w:val="0"/>
          <w:lang w:eastAsia="en-GB"/>
          <w14:ligatures w14:val="none"/>
        </w:rPr>
        <w:t>to retain</w:t>
      </w:r>
      <w:r w:rsidRPr="0082326F">
        <w:rPr>
          <w:rFonts w:ascii="Times New Roman" w:eastAsia="Times New Roman" w:hAnsi="Times New Roman" w:cs="Times New Roman"/>
          <w:kern w:val="0"/>
          <w:lang w:eastAsia="en-GB"/>
          <w14:ligatures w14:val="none"/>
        </w:rPr>
        <w:t xml:space="preserve"> independence.</w:t>
      </w:r>
    </w:p>
    <w:p w14:paraId="108CF79D" w14:textId="5D5B3A19" w:rsidR="00F40FBD" w:rsidRPr="00F40FBD" w:rsidRDefault="0082326F" w:rsidP="00F40FBD">
      <w:pPr>
        <w:numPr>
          <w:ilvl w:val="0"/>
          <w:numId w:val="16"/>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82326F">
        <w:rPr>
          <w:rFonts w:ascii="Times New Roman" w:eastAsia="Times New Roman" w:hAnsi="Times New Roman" w:cs="Times New Roman"/>
          <w:kern w:val="0"/>
          <w:lang w:eastAsia="en-GB"/>
          <w14:ligatures w14:val="none"/>
        </w:rPr>
        <w:t>Optimise resources (e.g. seconded administrative support</w:t>
      </w:r>
      <w:r w:rsidR="00CB70E7">
        <w:rPr>
          <w:rFonts w:ascii="Times New Roman" w:eastAsia="Times New Roman" w:hAnsi="Times New Roman" w:cs="Times New Roman"/>
          <w:kern w:val="0"/>
          <w:lang w:eastAsia="en-GB"/>
          <w14:ligatures w14:val="none"/>
        </w:rPr>
        <w:t xml:space="preserve"> from federations</w:t>
      </w:r>
      <w:r w:rsidR="00F40FBD">
        <w:rPr>
          <w:rFonts w:ascii="Times New Roman" w:eastAsia="Times New Roman" w:hAnsi="Times New Roman" w:cs="Times New Roman"/>
          <w:kern w:val="0"/>
          <w:lang w:eastAsia="en-GB"/>
          <w14:ligatures w14:val="none"/>
        </w:rPr>
        <w:t>)</w:t>
      </w:r>
      <w:r w:rsidR="00F95759">
        <w:rPr>
          <w:rFonts w:ascii="Times New Roman" w:eastAsia="Times New Roman" w:hAnsi="Times New Roman" w:cs="Times New Roman"/>
          <w:kern w:val="0"/>
          <w:lang w:eastAsia="en-GB"/>
          <w14:ligatures w14:val="none"/>
        </w:rPr>
        <w:t xml:space="preserve">.  </w:t>
      </w:r>
      <w:r w:rsidR="0019552D">
        <w:rPr>
          <w:rFonts w:ascii="Times New Roman" w:eastAsia="Times New Roman" w:hAnsi="Times New Roman" w:cs="Times New Roman"/>
          <w:kern w:val="0"/>
          <w:lang w:eastAsia="en-GB"/>
          <w14:ligatures w14:val="none"/>
        </w:rPr>
        <w:t xml:space="preserve">Make </w:t>
      </w:r>
      <w:r w:rsidR="0019552D" w:rsidRPr="0082326F">
        <w:rPr>
          <w:rFonts w:ascii="Times New Roman" w:eastAsia="Times New Roman" w:hAnsi="Times New Roman" w:cs="Times New Roman"/>
          <w:kern w:val="0"/>
          <w:lang w:eastAsia="en-GB"/>
          <w14:ligatures w14:val="none"/>
        </w:rPr>
        <w:t>use</w:t>
      </w:r>
      <w:r w:rsidR="00F40FBD" w:rsidRPr="00F40FBD">
        <w:rPr>
          <w:rFonts w:ascii="Times New Roman" w:eastAsia="Times New Roman" w:hAnsi="Times New Roman" w:cs="Times New Roman"/>
          <w:kern w:val="0"/>
          <w:lang w:eastAsia="en-GB"/>
          <w14:ligatures w14:val="none"/>
        </w:rPr>
        <w:t xml:space="preserve"> </w:t>
      </w:r>
      <w:r w:rsidR="00F95759">
        <w:rPr>
          <w:rFonts w:ascii="Times New Roman" w:eastAsia="Times New Roman" w:hAnsi="Times New Roman" w:cs="Times New Roman"/>
          <w:kern w:val="0"/>
          <w:lang w:eastAsia="en-GB"/>
          <w14:ligatures w14:val="none"/>
        </w:rPr>
        <w:t xml:space="preserve">of </w:t>
      </w:r>
      <w:r w:rsidR="00F40FBD" w:rsidRPr="00F40FBD">
        <w:rPr>
          <w:rFonts w:ascii="Times New Roman" w:eastAsia="Times New Roman" w:hAnsi="Times New Roman" w:cs="Times New Roman"/>
          <w:kern w:val="0"/>
          <w:lang w:eastAsia="en-GB"/>
          <w14:ligatures w14:val="none"/>
        </w:rPr>
        <w:t xml:space="preserve">existing funded clinical and management time where possible (such as for Clinical Director roles). </w:t>
      </w:r>
    </w:p>
    <w:p w14:paraId="78C8311D" w14:textId="77777777"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b/>
          <w:bCs/>
          <w:kern w:val="0"/>
          <w:lang w:eastAsia="en-GB"/>
          <w14:ligatures w14:val="none"/>
        </w:rPr>
        <w:t>3. Communication and Relationships</w:t>
      </w:r>
    </w:p>
    <w:p w14:paraId="33111E52" w14:textId="0F0760DE" w:rsidR="0082326F" w:rsidRPr="0082326F" w:rsidRDefault="007074EA" w:rsidP="0082326F">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Successful</w:t>
      </w:r>
      <w:r w:rsidR="0082326F" w:rsidRPr="0082326F">
        <w:rPr>
          <w:rFonts w:ascii="Times New Roman" w:eastAsia="Times New Roman" w:hAnsi="Times New Roman" w:cs="Times New Roman"/>
          <w:kern w:val="0"/>
          <w:lang w:eastAsia="en-GB"/>
          <w14:ligatures w14:val="none"/>
        </w:rPr>
        <w:t xml:space="preserve"> collaboration </w:t>
      </w:r>
      <w:r>
        <w:rPr>
          <w:rFonts w:ascii="Times New Roman" w:eastAsia="Times New Roman" w:hAnsi="Times New Roman" w:cs="Times New Roman"/>
          <w:kern w:val="0"/>
          <w:lang w:eastAsia="en-GB"/>
          <w14:ligatures w14:val="none"/>
        </w:rPr>
        <w:t xml:space="preserve">relies </w:t>
      </w:r>
      <w:r w:rsidR="00CB0041">
        <w:rPr>
          <w:rFonts w:ascii="Times New Roman" w:eastAsia="Times New Roman" w:hAnsi="Times New Roman" w:cs="Times New Roman"/>
          <w:kern w:val="0"/>
          <w:lang w:eastAsia="en-GB"/>
          <w14:ligatures w14:val="none"/>
        </w:rPr>
        <w:t>up</w:t>
      </w:r>
      <w:r>
        <w:rPr>
          <w:rFonts w:ascii="Times New Roman" w:eastAsia="Times New Roman" w:hAnsi="Times New Roman" w:cs="Times New Roman"/>
          <w:kern w:val="0"/>
          <w:lang w:eastAsia="en-GB"/>
          <w14:ligatures w14:val="none"/>
        </w:rPr>
        <w:t>on effective</w:t>
      </w:r>
      <w:r w:rsidR="0082326F" w:rsidRPr="0082326F">
        <w:rPr>
          <w:rFonts w:ascii="Times New Roman" w:eastAsia="Times New Roman" w:hAnsi="Times New Roman" w:cs="Times New Roman"/>
          <w:kern w:val="0"/>
          <w:lang w:eastAsia="en-GB"/>
          <w14:ligatures w14:val="none"/>
        </w:rPr>
        <w:t xml:space="preserve"> communication, trust, and relationship-building</w:t>
      </w:r>
      <w:r w:rsidR="00214C60">
        <w:rPr>
          <w:rFonts w:ascii="Times New Roman" w:eastAsia="Times New Roman" w:hAnsi="Times New Roman" w:cs="Times New Roman"/>
          <w:kern w:val="0"/>
          <w:lang w:eastAsia="en-GB"/>
          <w14:ligatures w14:val="none"/>
        </w:rPr>
        <w:t xml:space="preserve"> </w:t>
      </w:r>
      <w:r w:rsidR="00CB61B4">
        <w:rPr>
          <w:rFonts w:ascii="Times New Roman" w:eastAsia="Times New Roman" w:hAnsi="Times New Roman" w:cs="Times New Roman"/>
          <w:kern w:val="0"/>
          <w:lang w:eastAsia="en-GB"/>
          <w14:ligatures w14:val="none"/>
        </w:rPr>
        <w:t>to bring about a symbiotic relationship which amplifies outcomes and impact</w:t>
      </w:r>
      <w:r w:rsidR="009B5096">
        <w:rPr>
          <w:rFonts w:ascii="Times New Roman" w:eastAsia="Times New Roman" w:hAnsi="Times New Roman" w:cs="Times New Roman"/>
          <w:kern w:val="0"/>
          <w:lang w:eastAsia="en-GB"/>
          <w14:ligatures w14:val="none"/>
        </w:rPr>
        <w:t>.</w:t>
      </w:r>
    </w:p>
    <w:p w14:paraId="32C50223" w14:textId="05870ABB" w:rsidR="0082326F" w:rsidRPr="0082326F" w:rsidRDefault="0082326F" w:rsidP="0082326F">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Engage practices and </w:t>
      </w:r>
      <w:r w:rsidR="008A1609">
        <w:rPr>
          <w:rFonts w:ascii="Times New Roman" w:eastAsia="Times New Roman" w:hAnsi="Times New Roman" w:cs="Times New Roman"/>
          <w:kern w:val="0"/>
          <w:lang w:eastAsia="en-GB"/>
          <w14:ligatures w14:val="none"/>
        </w:rPr>
        <w:t xml:space="preserve">wider system provider </w:t>
      </w:r>
      <w:r w:rsidRPr="0082326F">
        <w:rPr>
          <w:rFonts w:ascii="Times New Roman" w:eastAsia="Times New Roman" w:hAnsi="Times New Roman" w:cs="Times New Roman"/>
          <w:kern w:val="0"/>
          <w:lang w:eastAsia="en-GB"/>
          <w14:ligatures w14:val="none"/>
        </w:rPr>
        <w:t>organisations early on.</w:t>
      </w:r>
    </w:p>
    <w:p w14:paraId="4AEFC418" w14:textId="4F7D8528" w:rsidR="0082326F" w:rsidRPr="0082326F" w:rsidRDefault="0082326F" w:rsidP="0082326F">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Map risks and opportunities</w:t>
      </w:r>
      <w:r w:rsidR="007C353A">
        <w:rPr>
          <w:rFonts w:ascii="Times New Roman" w:eastAsia="Times New Roman" w:hAnsi="Times New Roman" w:cs="Times New Roman"/>
          <w:kern w:val="0"/>
          <w:lang w:eastAsia="en-GB"/>
          <w14:ligatures w14:val="none"/>
        </w:rPr>
        <w:t xml:space="preserve"> collaboratively</w:t>
      </w:r>
      <w:r w:rsidR="00472407">
        <w:rPr>
          <w:rFonts w:ascii="Times New Roman" w:eastAsia="Times New Roman" w:hAnsi="Times New Roman" w:cs="Times New Roman"/>
          <w:kern w:val="0"/>
          <w:lang w:eastAsia="en-GB"/>
          <w14:ligatures w14:val="none"/>
        </w:rPr>
        <w:t>.</w:t>
      </w:r>
    </w:p>
    <w:p w14:paraId="6B429C37" w14:textId="384F46FE" w:rsidR="0082326F" w:rsidRPr="0082326F" w:rsidRDefault="001F38D1" w:rsidP="0082326F">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Align </w:t>
      </w:r>
      <w:r w:rsidR="0082326F" w:rsidRPr="0082326F">
        <w:rPr>
          <w:rFonts w:ascii="Times New Roman" w:eastAsia="Times New Roman" w:hAnsi="Times New Roman" w:cs="Times New Roman"/>
          <w:kern w:val="0"/>
          <w:lang w:eastAsia="en-GB"/>
          <w14:ligatures w14:val="none"/>
        </w:rPr>
        <w:t>with neighbouring LMCs where footprints are not coterminous.</w:t>
      </w:r>
    </w:p>
    <w:p w14:paraId="756FDF77" w14:textId="77777777" w:rsidR="0082326F" w:rsidRPr="0082326F" w:rsidRDefault="0082326F" w:rsidP="0082326F">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Support staff with training and morale.</w:t>
      </w:r>
    </w:p>
    <w:p w14:paraId="5FDCD13D" w14:textId="77777777" w:rsidR="0082326F" w:rsidRPr="0082326F" w:rsidRDefault="0082326F" w:rsidP="0082326F">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Regularly review progress, adapt strategies, and remain responsive to feedback.</w:t>
      </w:r>
    </w:p>
    <w:p w14:paraId="3553F87D" w14:textId="6E1B2EFC" w:rsidR="0082326F" w:rsidRPr="0082326F" w:rsidRDefault="0082326F" w:rsidP="0082326F">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Identify general practice</w:t>
      </w:r>
      <w:r w:rsidR="00135178">
        <w:rPr>
          <w:rFonts w:ascii="Times New Roman" w:eastAsia="Times New Roman" w:hAnsi="Times New Roman" w:cs="Times New Roman"/>
          <w:kern w:val="0"/>
          <w:lang w:eastAsia="en-GB"/>
          <w14:ligatures w14:val="none"/>
        </w:rPr>
        <w:t xml:space="preserve"> allies</w:t>
      </w:r>
      <w:r w:rsidRPr="0082326F">
        <w:rPr>
          <w:rFonts w:ascii="Times New Roman" w:eastAsia="Times New Roman" w:hAnsi="Times New Roman" w:cs="Times New Roman"/>
          <w:kern w:val="0"/>
          <w:lang w:eastAsia="en-GB"/>
          <w14:ligatures w14:val="none"/>
        </w:rPr>
        <w:t>.</w:t>
      </w:r>
    </w:p>
    <w:p w14:paraId="71709964" w14:textId="77777777"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b/>
          <w:bCs/>
          <w:kern w:val="0"/>
          <w:lang w:eastAsia="en-GB"/>
          <w14:ligatures w14:val="none"/>
        </w:rPr>
        <w:t>4. Governance and Ways of Working</w:t>
      </w:r>
    </w:p>
    <w:p w14:paraId="6A1FFC79" w14:textId="1E9B8CC2" w:rsidR="00B41E2E" w:rsidRPr="00B41E2E" w:rsidRDefault="0082326F" w:rsidP="00B41E2E">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Establish clear governance and joint working principles </w:t>
      </w:r>
      <w:r w:rsidR="00B41E2E" w:rsidRPr="00B41E2E">
        <w:rPr>
          <w:rFonts w:ascii="Times New Roman" w:eastAsia="Times New Roman" w:hAnsi="Times New Roman" w:cs="Times New Roman"/>
          <w:kern w:val="0"/>
          <w:lang w:eastAsia="en-GB"/>
          <w14:ligatures w14:val="none"/>
        </w:rPr>
        <w:t>both within general practice structures and at the interface with other organisations (for example with secondary care and community services). When clearly articulated and recorded, this will act as a road map and rule book for all providers in a</w:t>
      </w:r>
      <w:r w:rsidR="00F807E0">
        <w:rPr>
          <w:rFonts w:ascii="Times New Roman" w:eastAsia="Times New Roman" w:hAnsi="Times New Roman" w:cs="Times New Roman"/>
          <w:kern w:val="0"/>
          <w:lang w:eastAsia="en-GB"/>
          <w14:ligatures w14:val="none"/>
        </w:rPr>
        <w:t xml:space="preserve"> shifting </w:t>
      </w:r>
      <w:r w:rsidR="00B41E2E" w:rsidRPr="00B41E2E">
        <w:rPr>
          <w:rFonts w:ascii="Times New Roman" w:eastAsia="Times New Roman" w:hAnsi="Times New Roman" w:cs="Times New Roman"/>
          <w:kern w:val="0"/>
          <w:lang w:eastAsia="en-GB"/>
          <w14:ligatures w14:val="none"/>
        </w:rPr>
        <w:t xml:space="preserve">landscape. </w:t>
      </w:r>
    </w:p>
    <w:p w14:paraId="7311372C" w14:textId="77777777" w:rsidR="0082326F" w:rsidRPr="0082326F" w:rsidRDefault="0082326F" w:rsidP="0082326F">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Ensure LMC alignment across ICB footprints.</w:t>
      </w:r>
    </w:p>
    <w:p w14:paraId="767E77FC" w14:textId="77777777" w:rsidR="0082326F" w:rsidRPr="0082326F" w:rsidRDefault="0082326F" w:rsidP="0082326F">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Consider Memoranda of Understanding (MOUs):</w:t>
      </w:r>
    </w:p>
    <w:p w14:paraId="6CCDF90D" w14:textId="77777777" w:rsidR="0082326F" w:rsidRPr="0082326F" w:rsidRDefault="0082326F" w:rsidP="0082326F">
      <w:pPr>
        <w:numPr>
          <w:ilvl w:val="1"/>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i/>
          <w:iCs/>
          <w:kern w:val="0"/>
          <w:lang w:eastAsia="en-GB"/>
          <w14:ligatures w14:val="none"/>
        </w:rPr>
        <w:t>With practices</w:t>
      </w:r>
      <w:r w:rsidRPr="0082326F">
        <w:rPr>
          <w:rFonts w:ascii="Times New Roman" w:eastAsia="Times New Roman" w:hAnsi="Times New Roman" w:cs="Times New Roman"/>
          <w:kern w:val="0"/>
          <w:lang w:eastAsia="en-GB"/>
          <w14:ligatures w14:val="none"/>
        </w:rPr>
        <w:t xml:space="preserve"> – to secure mandate if transitioning to a decision-making body (ensure LMC involvement at all stages).</w:t>
      </w:r>
    </w:p>
    <w:p w14:paraId="34D86754" w14:textId="0B60072D" w:rsidR="0082326F" w:rsidRPr="0082326F" w:rsidRDefault="0082326F" w:rsidP="0082326F">
      <w:pPr>
        <w:numPr>
          <w:ilvl w:val="1"/>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i/>
          <w:iCs/>
          <w:kern w:val="0"/>
          <w:lang w:eastAsia="en-GB"/>
          <w14:ligatures w14:val="none"/>
        </w:rPr>
        <w:t>With provider organisations</w:t>
      </w:r>
      <w:r w:rsidRPr="0082326F">
        <w:rPr>
          <w:rFonts w:ascii="Times New Roman" w:eastAsia="Times New Roman" w:hAnsi="Times New Roman" w:cs="Times New Roman"/>
          <w:kern w:val="0"/>
          <w:lang w:eastAsia="en-GB"/>
          <w14:ligatures w14:val="none"/>
        </w:rPr>
        <w:t xml:space="preserve"> – to </w:t>
      </w:r>
      <w:r w:rsidR="004C0D33">
        <w:rPr>
          <w:rFonts w:ascii="Times New Roman" w:eastAsia="Times New Roman" w:hAnsi="Times New Roman" w:cs="Times New Roman"/>
          <w:kern w:val="0"/>
          <w:lang w:eastAsia="en-GB"/>
          <w14:ligatures w14:val="none"/>
        </w:rPr>
        <w:t>confirm</w:t>
      </w:r>
      <w:r w:rsidRPr="0082326F">
        <w:rPr>
          <w:rFonts w:ascii="Times New Roman" w:eastAsia="Times New Roman" w:hAnsi="Times New Roman" w:cs="Times New Roman"/>
          <w:kern w:val="0"/>
          <w:lang w:eastAsia="en-GB"/>
          <w14:ligatures w14:val="none"/>
        </w:rPr>
        <w:t xml:space="preserve"> joint working</w:t>
      </w:r>
      <w:r w:rsidR="00564E13">
        <w:rPr>
          <w:rFonts w:ascii="Times New Roman" w:eastAsia="Times New Roman" w:hAnsi="Times New Roman" w:cs="Times New Roman"/>
          <w:kern w:val="0"/>
          <w:lang w:eastAsia="en-GB"/>
          <w14:ligatures w14:val="none"/>
        </w:rPr>
        <w:t xml:space="preserve"> principles</w:t>
      </w:r>
      <w:r w:rsidRPr="0082326F">
        <w:rPr>
          <w:rFonts w:ascii="Times New Roman" w:eastAsia="Times New Roman" w:hAnsi="Times New Roman" w:cs="Times New Roman"/>
          <w:kern w:val="0"/>
          <w:lang w:eastAsia="en-GB"/>
          <w14:ligatures w14:val="none"/>
        </w:rPr>
        <w:t>, communication, and data-sharing protocols.</w:t>
      </w:r>
    </w:p>
    <w:p w14:paraId="6D00C1E0" w14:textId="088CE228" w:rsidR="0082326F" w:rsidRPr="0082326F" w:rsidRDefault="0082326F" w:rsidP="0082326F">
      <w:pPr>
        <w:numPr>
          <w:ilvl w:val="1"/>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i/>
          <w:iCs/>
          <w:kern w:val="0"/>
          <w:lang w:eastAsia="en-GB"/>
          <w14:ligatures w14:val="none"/>
        </w:rPr>
        <w:t>With the ICS</w:t>
      </w:r>
      <w:r w:rsidRPr="0082326F">
        <w:rPr>
          <w:rFonts w:ascii="Times New Roman" w:eastAsia="Times New Roman" w:hAnsi="Times New Roman" w:cs="Times New Roman"/>
          <w:kern w:val="0"/>
          <w:lang w:eastAsia="en-GB"/>
          <w14:ligatures w14:val="none"/>
        </w:rPr>
        <w:t xml:space="preserve"> – to define governance, </w:t>
      </w:r>
      <w:r w:rsidR="006E2E36">
        <w:rPr>
          <w:rFonts w:ascii="Times New Roman" w:eastAsia="Times New Roman" w:hAnsi="Times New Roman" w:cs="Times New Roman"/>
          <w:kern w:val="0"/>
          <w:lang w:eastAsia="en-GB"/>
          <w14:ligatures w14:val="none"/>
        </w:rPr>
        <w:t>outline infrastructure</w:t>
      </w:r>
      <w:r w:rsidR="00401443">
        <w:rPr>
          <w:rFonts w:ascii="Times New Roman" w:eastAsia="Times New Roman" w:hAnsi="Times New Roman" w:cs="Times New Roman"/>
          <w:kern w:val="0"/>
          <w:lang w:eastAsia="en-GB"/>
          <w14:ligatures w14:val="none"/>
        </w:rPr>
        <w:t xml:space="preserve">, </w:t>
      </w:r>
      <w:r w:rsidR="006E2E36">
        <w:rPr>
          <w:rFonts w:ascii="Times New Roman" w:eastAsia="Times New Roman" w:hAnsi="Times New Roman" w:cs="Times New Roman"/>
          <w:kern w:val="0"/>
          <w:lang w:eastAsia="en-GB"/>
          <w14:ligatures w14:val="none"/>
        </w:rPr>
        <w:t>monitoring</w:t>
      </w:r>
      <w:r w:rsidR="0019552D">
        <w:rPr>
          <w:rFonts w:ascii="Times New Roman" w:eastAsia="Times New Roman" w:hAnsi="Times New Roman" w:cs="Times New Roman"/>
          <w:kern w:val="0"/>
          <w:lang w:eastAsia="en-GB"/>
          <w14:ligatures w14:val="none"/>
        </w:rPr>
        <w:t xml:space="preserve"> and </w:t>
      </w:r>
      <w:r w:rsidRPr="0082326F">
        <w:rPr>
          <w:rFonts w:ascii="Times New Roman" w:eastAsia="Times New Roman" w:hAnsi="Times New Roman" w:cs="Times New Roman"/>
          <w:kern w:val="0"/>
          <w:lang w:eastAsia="en-GB"/>
          <w14:ligatures w14:val="none"/>
        </w:rPr>
        <w:t>reporting</w:t>
      </w:r>
      <w:r w:rsidR="008C0CD0">
        <w:rPr>
          <w:rFonts w:ascii="Times New Roman" w:eastAsia="Times New Roman" w:hAnsi="Times New Roman" w:cs="Times New Roman"/>
          <w:kern w:val="0"/>
          <w:lang w:eastAsia="en-GB"/>
          <w14:ligatures w14:val="none"/>
        </w:rPr>
        <w:t xml:space="preserve"> requirements</w:t>
      </w:r>
      <w:r w:rsidRPr="0082326F">
        <w:rPr>
          <w:rFonts w:ascii="Times New Roman" w:eastAsia="Times New Roman" w:hAnsi="Times New Roman" w:cs="Times New Roman"/>
          <w:kern w:val="0"/>
          <w:lang w:eastAsia="en-GB"/>
          <w14:ligatures w14:val="none"/>
        </w:rPr>
        <w:t>, roles</w:t>
      </w:r>
      <w:r w:rsidR="00D4582B">
        <w:rPr>
          <w:rFonts w:ascii="Times New Roman" w:eastAsia="Times New Roman" w:hAnsi="Times New Roman" w:cs="Times New Roman"/>
          <w:kern w:val="0"/>
          <w:lang w:eastAsia="en-GB"/>
          <w14:ligatures w14:val="none"/>
        </w:rPr>
        <w:t xml:space="preserve"> and responsibilities (</w:t>
      </w:r>
      <w:r w:rsidR="00BB3398">
        <w:rPr>
          <w:rFonts w:ascii="Times New Roman" w:eastAsia="Times New Roman" w:hAnsi="Times New Roman" w:cs="Times New Roman"/>
          <w:kern w:val="0"/>
          <w:lang w:eastAsia="en-GB"/>
          <w14:ligatures w14:val="none"/>
        </w:rPr>
        <w:t xml:space="preserve">e.g. </w:t>
      </w:r>
      <w:r w:rsidR="008C0CD0">
        <w:rPr>
          <w:rFonts w:ascii="Times New Roman" w:eastAsia="Times New Roman" w:hAnsi="Times New Roman" w:cs="Times New Roman"/>
          <w:kern w:val="0"/>
          <w:lang w:eastAsia="en-GB"/>
          <w14:ligatures w14:val="none"/>
        </w:rPr>
        <w:t xml:space="preserve">any </w:t>
      </w:r>
      <w:r w:rsidR="00D4582B">
        <w:rPr>
          <w:rFonts w:ascii="Times New Roman" w:eastAsia="Times New Roman" w:hAnsi="Times New Roman" w:cs="Times New Roman"/>
          <w:kern w:val="0"/>
          <w:lang w:eastAsia="en-GB"/>
          <w14:ligatures w14:val="none"/>
        </w:rPr>
        <w:t>system support for the Board</w:t>
      </w:r>
      <w:r w:rsidR="008314AD">
        <w:rPr>
          <w:rFonts w:ascii="Times New Roman" w:eastAsia="Times New Roman" w:hAnsi="Times New Roman" w:cs="Times New Roman"/>
          <w:kern w:val="0"/>
          <w:lang w:eastAsia="en-GB"/>
          <w14:ligatures w14:val="none"/>
        </w:rPr>
        <w:t>)</w:t>
      </w:r>
      <w:r w:rsidRPr="0082326F">
        <w:rPr>
          <w:rFonts w:ascii="Times New Roman" w:eastAsia="Times New Roman" w:hAnsi="Times New Roman" w:cs="Times New Roman"/>
          <w:kern w:val="0"/>
          <w:lang w:eastAsia="en-GB"/>
          <w14:ligatures w14:val="none"/>
        </w:rPr>
        <w:t>, financial agreements, and</w:t>
      </w:r>
      <w:r w:rsidR="008314AD">
        <w:rPr>
          <w:rFonts w:ascii="Times New Roman" w:eastAsia="Times New Roman" w:hAnsi="Times New Roman" w:cs="Times New Roman"/>
          <w:kern w:val="0"/>
          <w:lang w:eastAsia="en-GB"/>
          <w14:ligatures w14:val="none"/>
        </w:rPr>
        <w:t xml:space="preserve"> </w:t>
      </w:r>
      <w:r w:rsidR="00401443" w:rsidRPr="0082326F">
        <w:rPr>
          <w:rFonts w:ascii="Times New Roman" w:eastAsia="Times New Roman" w:hAnsi="Times New Roman" w:cs="Times New Roman"/>
          <w:kern w:val="0"/>
          <w:lang w:eastAsia="en-GB"/>
          <w14:ligatures w14:val="none"/>
        </w:rPr>
        <w:t>engagement</w:t>
      </w:r>
      <w:r w:rsidR="00401443" w:rsidRPr="00401443">
        <w:rPr>
          <w:rFonts w:ascii="Times New Roman" w:eastAsia="Times New Roman" w:hAnsi="Times New Roman" w:cs="Times New Roman"/>
          <w:kern w:val="0"/>
          <w:lang w:eastAsia="en-GB"/>
          <w14:ligatures w14:val="none"/>
        </w:rPr>
        <w:t xml:space="preserve"> </w:t>
      </w:r>
      <w:r w:rsidR="00401443">
        <w:rPr>
          <w:rFonts w:ascii="Times New Roman" w:eastAsia="Times New Roman" w:hAnsi="Times New Roman" w:cs="Times New Roman"/>
          <w:kern w:val="0"/>
          <w:lang w:eastAsia="en-GB"/>
          <w14:ligatures w14:val="none"/>
        </w:rPr>
        <w:t xml:space="preserve">at </w:t>
      </w:r>
      <w:r w:rsidRPr="0082326F">
        <w:rPr>
          <w:rFonts w:ascii="Times New Roman" w:eastAsia="Times New Roman" w:hAnsi="Times New Roman" w:cs="Times New Roman"/>
          <w:kern w:val="0"/>
          <w:lang w:eastAsia="en-GB"/>
          <w14:ligatures w14:val="none"/>
        </w:rPr>
        <w:t xml:space="preserve">system </w:t>
      </w:r>
      <w:r w:rsidR="00401443">
        <w:rPr>
          <w:rFonts w:ascii="Times New Roman" w:eastAsia="Times New Roman" w:hAnsi="Times New Roman" w:cs="Times New Roman"/>
          <w:kern w:val="0"/>
          <w:lang w:eastAsia="en-GB"/>
          <w14:ligatures w14:val="none"/>
        </w:rPr>
        <w:t>meetings</w:t>
      </w:r>
      <w:r w:rsidRPr="0082326F">
        <w:rPr>
          <w:rFonts w:ascii="Times New Roman" w:eastAsia="Times New Roman" w:hAnsi="Times New Roman" w:cs="Times New Roman"/>
          <w:kern w:val="0"/>
          <w:lang w:eastAsia="en-GB"/>
          <w14:ligatures w14:val="none"/>
        </w:rPr>
        <w:t>.</w:t>
      </w:r>
    </w:p>
    <w:p w14:paraId="511AAFB3" w14:textId="77777777"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b/>
          <w:bCs/>
          <w:kern w:val="0"/>
          <w:lang w:eastAsia="en-GB"/>
          <w14:ligatures w14:val="none"/>
        </w:rPr>
        <w:t>5. Values</w:t>
      </w:r>
    </w:p>
    <w:p w14:paraId="07D353A7" w14:textId="0D4BBE7A" w:rsidR="0082326F" w:rsidRPr="0082326F" w:rsidRDefault="0082326F" w:rsidP="0082326F">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 xml:space="preserve">Define </w:t>
      </w:r>
      <w:r w:rsidR="00A60529">
        <w:rPr>
          <w:rFonts w:ascii="Times New Roman" w:eastAsia="Times New Roman" w:hAnsi="Times New Roman" w:cs="Times New Roman"/>
          <w:kern w:val="0"/>
          <w:lang w:eastAsia="en-GB"/>
          <w14:ligatures w14:val="none"/>
        </w:rPr>
        <w:t xml:space="preserve">co-created, </w:t>
      </w:r>
      <w:r w:rsidRPr="0082326F">
        <w:rPr>
          <w:rFonts w:ascii="Times New Roman" w:eastAsia="Times New Roman" w:hAnsi="Times New Roman" w:cs="Times New Roman"/>
          <w:kern w:val="0"/>
          <w:lang w:eastAsia="en-GB"/>
          <w14:ligatures w14:val="none"/>
        </w:rPr>
        <w:t xml:space="preserve">shared values and </w:t>
      </w:r>
      <w:r w:rsidR="00343D55">
        <w:rPr>
          <w:rFonts w:ascii="Times New Roman" w:eastAsia="Times New Roman" w:hAnsi="Times New Roman" w:cs="Times New Roman"/>
          <w:kern w:val="0"/>
          <w:lang w:eastAsia="en-GB"/>
          <w14:ligatures w14:val="none"/>
        </w:rPr>
        <w:t>agree</w:t>
      </w:r>
      <w:r w:rsidRPr="0082326F">
        <w:rPr>
          <w:rFonts w:ascii="Times New Roman" w:eastAsia="Times New Roman" w:hAnsi="Times New Roman" w:cs="Times New Roman"/>
          <w:kern w:val="0"/>
          <w:lang w:eastAsia="en-GB"/>
          <w14:ligatures w14:val="none"/>
        </w:rPr>
        <w:t xml:space="preserve"> a code of conduct.</w:t>
      </w:r>
    </w:p>
    <w:p w14:paraId="513CD72D" w14:textId="77777777"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b/>
          <w:bCs/>
          <w:kern w:val="0"/>
          <w:lang w:eastAsia="en-GB"/>
          <w14:ligatures w14:val="none"/>
        </w:rPr>
        <w:t>6. Keeping General Practice Central</w:t>
      </w:r>
    </w:p>
    <w:p w14:paraId="2617CB51" w14:textId="335F373B" w:rsidR="0082326F" w:rsidRPr="0082326F" w:rsidRDefault="0082326F" w:rsidP="0082326F">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lastRenderedPageBreak/>
        <w:t xml:space="preserve">GPs should </w:t>
      </w:r>
      <w:r w:rsidR="00B87C75">
        <w:rPr>
          <w:rFonts w:ascii="Times New Roman" w:eastAsia="Times New Roman" w:hAnsi="Times New Roman" w:cs="Times New Roman"/>
          <w:kern w:val="0"/>
          <w:lang w:eastAsia="en-GB"/>
          <w14:ligatures w14:val="none"/>
        </w:rPr>
        <w:t xml:space="preserve">maintain a </w:t>
      </w:r>
      <w:r w:rsidRPr="0082326F">
        <w:rPr>
          <w:rFonts w:ascii="Times New Roman" w:eastAsia="Times New Roman" w:hAnsi="Times New Roman" w:cs="Times New Roman"/>
          <w:kern w:val="0"/>
          <w:lang w:eastAsia="en-GB"/>
          <w14:ligatures w14:val="none"/>
        </w:rPr>
        <w:t xml:space="preserve">central, coordinating </w:t>
      </w:r>
      <w:r w:rsidR="00B87C75">
        <w:rPr>
          <w:rFonts w:ascii="Times New Roman" w:eastAsia="Times New Roman" w:hAnsi="Times New Roman" w:cs="Times New Roman"/>
          <w:kern w:val="0"/>
          <w:lang w:eastAsia="en-GB"/>
          <w14:ligatures w14:val="none"/>
        </w:rPr>
        <w:t xml:space="preserve">role much </w:t>
      </w:r>
      <w:r w:rsidRPr="0082326F">
        <w:rPr>
          <w:rFonts w:ascii="Times New Roman" w:eastAsia="Times New Roman" w:hAnsi="Times New Roman" w:cs="Times New Roman"/>
          <w:kern w:val="0"/>
          <w:lang w:eastAsia="en-GB"/>
          <w14:ligatures w14:val="none"/>
        </w:rPr>
        <w:t xml:space="preserve">like the </w:t>
      </w:r>
      <w:r w:rsidR="00D368DF">
        <w:rPr>
          <w:rFonts w:ascii="Times New Roman" w:eastAsia="Times New Roman" w:hAnsi="Times New Roman" w:cs="Times New Roman"/>
          <w:kern w:val="0"/>
          <w:lang w:eastAsia="en-GB"/>
          <w14:ligatures w14:val="none"/>
        </w:rPr>
        <w:t>‘</w:t>
      </w:r>
      <w:r w:rsidRPr="0082326F">
        <w:rPr>
          <w:rFonts w:ascii="Times New Roman" w:eastAsia="Times New Roman" w:hAnsi="Times New Roman" w:cs="Times New Roman"/>
          <w:kern w:val="0"/>
          <w:lang w:eastAsia="en-GB"/>
          <w14:ligatures w14:val="none"/>
        </w:rPr>
        <w:t>conductor of an orchestra</w:t>
      </w:r>
      <w:r w:rsidR="005F2F76">
        <w:rPr>
          <w:rFonts w:ascii="Times New Roman" w:eastAsia="Times New Roman" w:hAnsi="Times New Roman" w:cs="Times New Roman"/>
          <w:kern w:val="0"/>
          <w:lang w:eastAsia="en-GB"/>
          <w14:ligatures w14:val="none"/>
        </w:rPr>
        <w:t>’</w:t>
      </w:r>
      <w:r w:rsidRPr="0082326F">
        <w:rPr>
          <w:rFonts w:ascii="Times New Roman" w:eastAsia="Times New Roman" w:hAnsi="Times New Roman" w:cs="Times New Roman"/>
          <w:kern w:val="0"/>
          <w:lang w:eastAsia="en-GB"/>
          <w14:ligatures w14:val="none"/>
        </w:rPr>
        <w:t>.</w:t>
      </w:r>
    </w:p>
    <w:p w14:paraId="79DFA077" w14:textId="77777777" w:rsidR="0082326F" w:rsidRPr="0082326F" w:rsidRDefault="0082326F" w:rsidP="0082326F">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Weight GP and LMC membership accordingly.</w:t>
      </w:r>
    </w:p>
    <w:p w14:paraId="131BDE5C" w14:textId="77777777"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b/>
          <w:bCs/>
          <w:kern w:val="0"/>
          <w:lang w:eastAsia="en-GB"/>
          <w14:ligatures w14:val="none"/>
        </w:rPr>
        <w:t>7. Ringfencing Surplus for Purpose</w:t>
      </w:r>
    </w:p>
    <w:p w14:paraId="2F2E1CE8" w14:textId="31AD0AA5" w:rsidR="0082326F" w:rsidRPr="0082326F" w:rsidRDefault="00BB3398" w:rsidP="0082326F">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Financial s</w:t>
      </w:r>
      <w:r w:rsidR="0082326F" w:rsidRPr="0082326F">
        <w:rPr>
          <w:rFonts w:ascii="Times New Roman" w:eastAsia="Times New Roman" w:hAnsi="Times New Roman" w:cs="Times New Roman"/>
          <w:kern w:val="0"/>
          <w:lang w:eastAsia="en-GB"/>
          <w14:ligatures w14:val="none"/>
        </w:rPr>
        <w:t>urpluses (e.g. from reduced hospital activity, innovation, contractual delivery</w:t>
      </w:r>
      <w:r w:rsidR="00B4110F">
        <w:rPr>
          <w:rFonts w:ascii="Times New Roman" w:eastAsia="Times New Roman" w:hAnsi="Times New Roman" w:cs="Times New Roman"/>
          <w:kern w:val="0"/>
          <w:lang w:eastAsia="en-GB"/>
          <w14:ligatures w14:val="none"/>
        </w:rPr>
        <w:t xml:space="preserve"> or delegated com</w:t>
      </w:r>
      <w:r w:rsidR="00891FAA">
        <w:rPr>
          <w:rFonts w:ascii="Times New Roman" w:eastAsia="Times New Roman" w:hAnsi="Times New Roman" w:cs="Times New Roman"/>
          <w:kern w:val="0"/>
          <w:lang w:eastAsia="en-GB"/>
          <w14:ligatures w14:val="none"/>
        </w:rPr>
        <w:t>missioning</w:t>
      </w:r>
      <w:r w:rsidR="0082326F" w:rsidRPr="0082326F">
        <w:rPr>
          <w:rFonts w:ascii="Times New Roman" w:eastAsia="Times New Roman" w:hAnsi="Times New Roman" w:cs="Times New Roman"/>
          <w:kern w:val="0"/>
          <w:lang w:eastAsia="en-GB"/>
          <w14:ligatures w14:val="none"/>
        </w:rPr>
        <w:t xml:space="preserve">) should be reinvested into </w:t>
      </w:r>
      <w:r w:rsidR="00416F4B">
        <w:rPr>
          <w:rFonts w:ascii="Times New Roman" w:eastAsia="Times New Roman" w:hAnsi="Times New Roman" w:cs="Times New Roman"/>
          <w:kern w:val="0"/>
          <w:lang w:eastAsia="en-GB"/>
          <w14:ligatures w14:val="none"/>
        </w:rPr>
        <w:t xml:space="preserve">member </w:t>
      </w:r>
      <w:r w:rsidR="0082326F" w:rsidRPr="0082326F">
        <w:rPr>
          <w:rFonts w:ascii="Times New Roman" w:eastAsia="Times New Roman" w:hAnsi="Times New Roman" w:cs="Times New Roman"/>
          <w:kern w:val="0"/>
          <w:lang w:eastAsia="en-GB"/>
          <w14:ligatures w14:val="none"/>
        </w:rPr>
        <w:t>practices</w:t>
      </w:r>
      <w:r w:rsidR="00416F4B">
        <w:rPr>
          <w:rFonts w:ascii="Times New Roman" w:eastAsia="Times New Roman" w:hAnsi="Times New Roman" w:cs="Times New Roman"/>
          <w:kern w:val="0"/>
          <w:lang w:eastAsia="en-GB"/>
          <w14:ligatures w14:val="none"/>
        </w:rPr>
        <w:t>’ services</w:t>
      </w:r>
      <w:r w:rsidR="0082326F" w:rsidRPr="0082326F">
        <w:rPr>
          <w:rFonts w:ascii="Times New Roman" w:eastAsia="Times New Roman" w:hAnsi="Times New Roman" w:cs="Times New Roman"/>
          <w:kern w:val="0"/>
          <w:lang w:eastAsia="en-GB"/>
          <w14:ligatures w14:val="none"/>
        </w:rPr>
        <w:t xml:space="preserve"> and </w:t>
      </w:r>
      <w:r w:rsidRPr="00BB3398">
        <w:rPr>
          <w:rFonts w:ascii="Times New Roman" w:eastAsia="Times New Roman" w:hAnsi="Times New Roman" w:cs="Times New Roman"/>
          <w:kern w:val="0"/>
          <w:lang w:eastAsia="en-GB"/>
          <w14:ligatures w14:val="none"/>
        </w:rPr>
        <w:t>staff</w:t>
      </w:r>
      <w:r w:rsidR="004D2086" w:rsidRPr="004D2086">
        <w:rPr>
          <w:rFonts w:ascii="Times New Roman" w:eastAsia="Times New Roman" w:hAnsi="Times New Roman" w:cs="Times New Roman"/>
          <w:kern w:val="0"/>
          <w:lang w:eastAsia="en-GB"/>
          <w14:ligatures w14:val="none"/>
        </w:rPr>
        <w:t xml:space="preserve"> generat</w:t>
      </w:r>
      <w:r w:rsidR="00387FA5">
        <w:rPr>
          <w:rFonts w:ascii="Times New Roman" w:eastAsia="Times New Roman" w:hAnsi="Times New Roman" w:cs="Times New Roman"/>
          <w:kern w:val="0"/>
          <w:lang w:eastAsia="en-GB"/>
          <w14:ligatures w14:val="none"/>
        </w:rPr>
        <w:t>ing</w:t>
      </w:r>
      <w:r w:rsidR="004D2086" w:rsidRPr="004D2086">
        <w:rPr>
          <w:rFonts w:ascii="Times New Roman" w:eastAsia="Times New Roman" w:hAnsi="Times New Roman" w:cs="Times New Roman"/>
          <w:kern w:val="0"/>
          <w:lang w:eastAsia="en-GB"/>
          <w14:ligatures w14:val="none"/>
        </w:rPr>
        <w:t xml:space="preserve"> even more gains by improving preventative and continuity of care.</w:t>
      </w:r>
      <w:r w:rsidR="004D2086">
        <w:rPr>
          <w:rFonts w:ascii="Times New Roman" w:eastAsia="Times New Roman" w:hAnsi="Times New Roman" w:cs="Times New Roman"/>
          <w:kern w:val="0"/>
          <w:lang w:eastAsia="en-GB"/>
          <w14:ligatures w14:val="none"/>
        </w:rPr>
        <w:t xml:space="preserve"> </w:t>
      </w:r>
    </w:p>
    <w:p w14:paraId="1717AD93" w14:textId="0F33EB6B" w:rsidR="0082326F" w:rsidRPr="0082326F" w:rsidRDefault="0082326F" w:rsidP="00CA3B97">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Reinvestment should reward collaboration, quality and outcomes—not activity alone</w:t>
      </w:r>
      <w:r w:rsidR="00912DB8">
        <w:rPr>
          <w:rFonts w:ascii="Times New Roman" w:eastAsia="Times New Roman" w:hAnsi="Times New Roman" w:cs="Times New Roman"/>
          <w:kern w:val="0"/>
          <w:lang w:eastAsia="en-GB"/>
          <w14:ligatures w14:val="none"/>
        </w:rPr>
        <w:t>.  This</w:t>
      </w:r>
      <w:r w:rsidR="00BB3398">
        <w:rPr>
          <w:rFonts w:ascii="Times New Roman" w:eastAsia="Times New Roman" w:hAnsi="Times New Roman" w:cs="Times New Roman"/>
          <w:kern w:val="0"/>
          <w:lang w:eastAsia="en-GB"/>
          <w14:ligatures w14:val="none"/>
        </w:rPr>
        <w:t xml:space="preserve"> will </w:t>
      </w:r>
      <w:r w:rsidR="00387FA5">
        <w:rPr>
          <w:rFonts w:ascii="Times New Roman" w:eastAsia="Times New Roman" w:hAnsi="Times New Roman" w:cs="Times New Roman"/>
          <w:kern w:val="0"/>
          <w:lang w:eastAsia="en-GB"/>
          <w14:ligatures w14:val="none"/>
        </w:rPr>
        <w:t>support</w:t>
      </w:r>
      <w:r w:rsidR="009741AC" w:rsidRPr="009741AC">
        <w:rPr>
          <w:rFonts w:ascii="Times New Roman" w:eastAsia="Times New Roman" w:hAnsi="Times New Roman" w:cs="Times New Roman"/>
          <w:kern w:val="0"/>
          <w:lang w:eastAsia="en-GB"/>
          <w14:ligatures w14:val="none"/>
        </w:rPr>
        <w:t xml:space="preserve"> practices to work together for population benefit, not individual gain.</w:t>
      </w:r>
    </w:p>
    <w:p w14:paraId="026AAA36" w14:textId="0984DB29" w:rsidR="0082326F" w:rsidRPr="0082326F" w:rsidRDefault="0082326F" w:rsidP="008232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b/>
          <w:bCs/>
          <w:kern w:val="0"/>
          <w:lang w:eastAsia="en-GB"/>
          <w14:ligatures w14:val="none"/>
        </w:rPr>
        <w:t>8. Organisational Models</w:t>
      </w:r>
      <w:r w:rsidRPr="0082326F">
        <w:rPr>
          <w:rFonts w:ascii="Times New Roman" w:eastAsia="Times New Roman" w:hAnsi="Times New Roman" w:cs="Times New Roman"/>
          <w:kern w:val="0"/>
          <w:lang w:eastAsia="en-GB"/>
          <w14:ligatures w14:val="none"/>
        </w:rPr>
        <w:br/>
        <w:t xml:space="preserve">As outlined in GPC’s </w:t>
      </w:r>
      <w:r w:rsidRPr="0082326F">
        <w:rPr>
          <w:rFonts w:ascii="Times New Roman" w:eastAsia="Times New Roman" w:hAnsi="Times New Roman" w:cs="Times New Roman"/>
          <w:i/>
          <w:iCs/>
          <w:kern w:val="0"/>
          <w:lang w:eastAsia="en-GB"/>
          <w14:ligatures w14:val="none"/>
        </w:rPr>
        <w:t>Focus on Ethics</w:t>
      </w:r>
      <w:r w:rsidRPr="0082326F">
        <w:rPr>
          <w:rFonts w:ascii="Times New Roman" w:eastAsia="Times New Roman" w:hAnsi="Times New Roman" w:cs="Times New Roman"/>
          <w:kern w:val="0"/>
          <w:lang w:eastAsia="en-GB"/>
          <w14:ligatures w14:val="none"/>
        </w:rPr>
        <w:t xml:space="preserve"> document, possible </w:t>
      </w:r>
      <w:r w:rsidR="00F7089E">
        <w:rPr>
          <w:rFonts w:ascii="Times New Roman" w:eastAsia="Times New Roman" w:hAnsi="Times New Roman" w:cs="Times New Roman"/>
          <w:kern w:val="0"/>
          <w:lang w:eastAsia="en-GB"/>
          <w14:ligatures w14:val="none"/>
        </w:rPr>
        <w:t xml:space="preserve">organisational </w:t>
      </w:r>
      <w:r w:rsidRPr="0082326F">
        <w:rPr>
          <w:rFonts w:ascii="Times New Roman" w:eastAsia="Times New Roman" w:hAnsi="Times New Roman" w:cs="Times New Roman"/>
          <w:kern w:val="0"/>
          <w:lang w:eastAsia="en-GB"/>
          <w14:ligatures w14:val="none"/>
        </w:rPr>
        <w:t xml:space="preserve">models </w:t>
      </w:r>
      <w:r w:rsidR="00161549" w:rsidRPr="00161549">
        <w:rPr>
          <w:rFonts w:ascii="Times New Roman" w:eastAsia="Times New Roman" w:hAnsi="Times New Roman" w:cs="Times New Roman"/>
          <w:kern w:val="0"/>
          <w:lang w:eastAsia="en-GB"/>
          <w14:ligatures w14:val="none"/>
        </w:rPr>
        <w:t xml:space="preserve">to implement collaborative working </w:t>
      </w:r>
      <w:r w:rsidRPr="0082326F">
        <w:rPr>
          <w:rFonts w:ascii="Times New Roman" w:eastAsia="Times New Roman" w:hAnsi="Times New Roman" w:cs="Times New Roman"/>
          <w:kern w:val="0"/>
          <w:lang w:eastAsia="en-GB"/>
          <w14:ligatures w14:val="none"/>
        </w:rPr>
        <w:t>include:</w:t>
      </w:r>
    </w:p>
    <w:p w14:paraId="511089DF" w14:textId="77777777" w:rsidR="0082326F" w:rsidRPr="0082326F" w:rsidRDefault="0082326F" w:rsidP="0082326F">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Mutuals/Cooperatives</w:t>
      </w:r>
    </w:p>
    <w:p w14:paraId="028608F5" w14:textId="77777777" w:rsidR="0082326F" w:rsidRPr="0082326F" w:rsidRDefault="0082326F" w:rsidP="0082326F">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Community Interest Companies (CICs)</w:t>
      </w:r>
    </w:p>
    <w:p w14:paraId="6B125A6B" w14:textId="05B38925" w:rsidR="0082326F" w:rsidRPr="0082326F" w:rsidRDefault="0082326F" w:rsidP="0082326F">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326F">
        <w:rPr>
          <w:rFonts w:ascii="Times New Roman" w:eastAsia="Times New Roman" w:hAnsi="Times New Roman" w:cs="Times New Roman"/>
          <w:kern w:val="0"/>
          <w:lang w:eastAsia="en-GB"/>
          <w14:ligatures w14:val="none"/>
        </w:rPr>
        <w:t>Limited Companies with Shareholder Agreements</w:t>
      </w:r>
      <w:r w:rsidR="00161549">
        <w:rPr>
          <w:rFonts w:ascii="Times New Roman" w:eastAsia="Times New Roman" w:hAnsi="Times New Roman" w:cs="Times New Roman"/>
          <w:kern w:val="0"/>
          <w:lang w:eastAsia="en-GB"/>
          <w14:ligatures w14:val="none"/>
        </w:rPr>
        <w:t>.</w:t>
      </w:r>
    </w:p>
    <w:p w14:paraId="7977826E" w14:textId="02FAA5E5" w:rsidR="003A6F43" w:rsidRDefault="005C3900">
      <w:r>
        <w:t xml:space="preserve"> </w:t>
      </w:r>
    </w:p>
    <w:sectPr w:rsidR="003A6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F33"/>
    <w:multiLevelType w:val="multilevel"/>
    <w:tmpl w:val="D554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23A50"/>
    <w:multiLevelType w:val="multilevel"/>
    <w:tmpl w:val="8C0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D66F5"/>
    <w:multiLevelType w:val="hybridMultilevel"/>
    <w:tmpl w:val="DF624E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B6166"/>
    <w:multiLevelType w:val="multilevel"/>
    <w:tmpl w:val="BCF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65AD7"/>
    <w:multiLevelType w:val="multilevel"/>
    <w:tmpl w:val="490E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53FC5"/>
    <w:multiLevelType w:val="multilevel"/>
    <w:tmpl w:val="3824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0002C"/>
    <w:multiLevelType w:val="multilevel"/>
    <w:tmpl w:val="7D4E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E20A7"/>
    <w:multiLevelType w:val="multilevel"/>
    <w:tmpl w:val="C6E8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D1BEB"/>
    <w:multiLevelType w:val="multilevel"/>
    <w:tmpl w:val="7EBEC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60EE6"/>
    <w:multiLevelType w:val="multilevel"/>
    <w:tmpl w:val="8600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75E73"/>
    <w:multiLevelType w:val="multilevel"/>
    <w:tmpl w:val="379E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9186C"/>
    <w:multiLevelType w:val="multilevel"/>
    <w:tmpl w:val="7EBEC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143B1E"/>
    <w:multiLevelType w:val="multilevel"/>
    <w:tmpl w:val="673E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96B74"/>
    <w:multiLevelType w:val="multilevel"/>
    <w:tmpl w:val="34CC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07519"/>
    <w:multiLevelType w:val="multilevel"/>
    <w:tmpl w:val="408E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7548B"/>
    <w:multiLevelType w:val="multilevel"/>
    <w:tmpl w:val="2574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D0249A"/>
    <w:multiLevelType w:val="multilevel"/>
    <w:tmpl w:val="CBF4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F1BF8"/>
    <w:multiLevelType w:val="multilevel"/>
    <w:tmpl w:val="3CC4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6228BE"/>
    <w:multiLevelType w:val="multilevel"/>
    <w:tmpl w:val="53345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A75E2D"/>
    <w:multiLevelType w:val="multilevel"/>
    <w:tmpl w:val="74C40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701BDB"/>
    <w:multiLevelType w:val="multilevel"/>
    <w:tmpl w:val="A574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40CCF"/>
    <w:multiLevelType w:val="multilevel"/>
    <w:tmpl w:val="290C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5560A3"/>
    <w:multiLevelType w:val="multilevel"/>
    <w:tmpl w:val="2DB8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4D2813"/>
    <w:multiLevelType w:val="multilevel"/>
    <w:tmpl w:val="4538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B525C"/>
    <w:multiLevelType w:val="multilevel"/>
    <w:tmpl w:val="B604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4609D3"/>
    <w:multiLevelType w:val="multilevel"/>
    <w:tmpl w:val="1FB2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431645">
    <w:abstractNumId w:val="6"/>
  </w:num>
  <w:num w:numId="2" w16cid:durableId="1738816510">
    <w:abstractNumId w:val="14"/>
  </w:num>
  <w:num w:numId="3" w16cid:durableId="640504694">
    <w:abstractNumId w:val="13"/>
  </w:num>
  <w:num w:numId="4" w16cid:durableId="1177617113">
    <w:abstractNumId w:val="1"/>
  </w:num>
  <w:num w:numId="5" w16cid:durableId="896092078">
    <w:abstractNumId w:val="21"/>
  </w:num>
  <w:num w:numId="6" w16cid:durableId="383220886">
    <w:abstractNumId w:val="5"/>
  </w:num>
  <w:num w:numId="7" w16cid:durableId="1008405001">
    <w:abstractNumId w:val="22"/>
  </w:num>
  <w:num w:numId="8" w16cid:durableId="770665465">
    <w:abstractNumId w:val="7"/>
  </w:num>
  <w:num w:numId="9" w16cid:durableId="1684210477">
    <w:abstractNumId w:val="24"/>
  </w:num>
  <w:num w:numId="10" w16cid:durableId="686248239">
    <w:abstractNumId w:val="23"/>
  </w:num>
  <w:num w:numId="11" w16cid:durableId="600534545">
    <w:abstractNumId w:val="12"/>
  </w:num>
  <w:num w:numId="12" w16cid:durableId="998507793">
    <w:abstractNumId w:val="20"/>
  </w:num>
  <w:num w:numId="13" w16cid:durableId="869609817">
    <w:abstractNumId w:val="25"/>
  </w:num>
  <w:num w:numId="14" w16cid:durableId="656304640">
    <w:abstractNumId w:val="17"/>
  </w:num>
  <w:num w:numId="15" w16cid:durableId="727261449">
    <w:abstractNumId w:val="15"/>
  </w:num>
  <w:num w:numId="16" w16cid:durableId="1025717875">
    <w:abstractNumId w:val="3"/>
  </w:num>
  <w:num w:numId="17" w16cid:durableId="1605962474">
    <w:abstractNumId w:val="10"/>
  </w:num>
  <w:num w:numId="18" w16cid:durableId="891036671">
    <w:abstractNumId w:val="18"/>
  </w:num>
  <w:num w:numId="19" w16cid:durableId="1377315242">
    <w:abstractNumId w:val="9"/>
  </w:num>
  <w:num w:numId="20" w16cid:durableId="1458328704">
    <w:abstractNumId w:val="4"/>
  </w:num>
  <w:num w:numId="21" w16cid:durableId="353270256">
    <w:abstractNumId w:val="0"/>
  </w:num>
  <w:num w:numId="22" w16cid:durableId="1320427530">
    <w:abstractNumId w:val="16"/>
  </w:num>
  <w:num w:numId="23" w16cid:durableId="413017152">
    <w:abstractNumId w:val="19"/>
  </w:num>
  <w:num w:numId="24" w16cid:durableId="1471630008">
    <w:abstractNumId w:val="11"/>
  </w:num>
  <w:num w:numId="25" w16cid:durableId="413281249">
    <w:abstractNumId w:val="2"/>
  </w:num>
  <w:num w:numId="26" w16cid:durableId="2060933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43"/>
    <w:rsid w:val="00046A1B"/>
    <w:rsid w:val="000C47A6"/>
    <w:rsid w:val="000C5A15"/>
    <w:rsid w:val="00101836"/>
    <w:rsid w:val="00135178"/>
    <w:rsid w:val="00137653"/>
    <w:rsid w:val="00154591"/>
    <w:rsid w:val="00161549"/>
    <w:rsid w:val="001934DB"/>
    <w:rsid w:val="0019552D"/>
    <w:rsid w:val="001A3226"/>
    <w:rsid w:val="001C3EAE"/>
    <w:rsid w:val="001D1656"/>
    <w:rsid w:val="001F38D1"/>
    <w:rsid w:val="00203645"/>
    <w:rsid w:val="002110FA"/>
    <w:rsid w:val="00214C60"/>
    <w:rsid w:val="0021666D"/>
    <w:rsid w:val="00224DD0"/>
    <w:rsid w:val="002518B8"/>
    <w:rsid w:val="00297696"/>
    <w:rsid w:val="002B36C5"/>
    <w:rsid w:val="00312F3B"/>
    <w:rsid w:val="003133B9"/>
    <w:rsid w:val="00324155"/>
    <w:rsid w:val="00343D55"/>
    <w:rsid w:val="003607F9"/>
    <w:rsid w:val="00386ADD"/>
    <w:rsid w:val="00387FA5"/>
    <w:rsid w:val="00395D16"/>
    <w:rsid w:val="003A6F43"/>
    <w:rsid w:val="00401443"/>
    <w:rsid w:val="00416F4B"/>
    <w:rsid w:val="00424220"/>
    <w:rsid w:val="00472407"/>
    <w:rsid w:val="00483D47"/>
    <w:rsid w:val="004975F1"/>
    <w:rsid w:val="004A73C5"/>
    <w:rsid w:val="004C0D33"/>
    <w:rsid w:val="004D2086"/>
    <w:rsid w:val="004D2F0B"/>
    <w:rsid w:val="004D7718"/>
    <w:rsid w:val="00511F0A"/>
    <w:rsid w:val="00531242"/>
    <w:rsid w:val="0056440F"/>
    <w:rsid w:val="00564E13"/>
    <w:rsid w:val="005709AE"/>
    <w:rsid w:val="005C3900"/>
    <w:rsid w:val="005C5A6B"/>
    <w:rsid w:val="005D1356"/>
    <w:rsid w:val="005E3073"/>
    <w:rsid w:val="005E3E67"/>
    <w:rsid w:val="005F2F76"/>
    <w:rsid w:val="0063068E"/>
    <w:rsid w:val="00647EC9"/>
    <w:rsid w:val="006B12F5"/>
    <w:rsid w:val="006E2E36"/>
    <w:rsid w:val="006F45D0"/>
    <w:rsid w:val="007074EA"/>
    <w:rsid w:val="007318E6"/>
    <w:rsid w:val="00735606"/>
    <w:rsid w:val="007708E6"/>
    <w:rsid w:val="00772ABA"/>
    <w:rsid w:val="007C353A"/>
    <w:rsid w:val="008047C8"/>
    <w:rsid w:val="00816723"/>
    <w:rsid w:val="00816D7B"/>
    <w:rsid w:val="0082326F"/>
    <w:rsid w:val="008314AD"/>
    <w:rsid w:val="008530DB"/>
    <w:rsid w:val="00874A7F"/>
    <w:rsid w:val="00891FAA"/>
    <w:rsid w:val="00894FD6"/>
    <w:rsid w:val="008A1609"/>
    <w:rsid w:val="008C0CD0"/>
    <w:rsid w:val="008D29C0"/>
    <w:rsid w:val="00901E3B"/>
    <w:rsid w:val="00912DB8"/>
    <w:rsid w:val="00947EB2"/>
    <w:rsid w:val="009741AC"/>
    <w:rsid w:val="0097633C"/>
    <w:rsid w:val="00992545"/>
    <w:rsid w:val="009A15F8"/>
    <w:rsid w:val="009B5096"/>
    <w:rsid w:val="009D69CE"/>
    <w:rsid w:val="009F0301"/>
    <w:rsid w:val="00A07975"/>
    <w:rsid w:val="00A22693"/>
    <w:rsid w:val="00A22BF4"/>
    <w:rsid w:val="00A53018"/>
    <w:rsid w:val="00A56CE0"/>
    <w:rsid w:val="00A60529"/>
    <w:rsid w:val="00A74639"/>
    <w:rsid w:val="00A74EFE"/>
    <w:rsid w:val="00A91354"/>
    <w:rsid w:val="00AD03F0"/>
    <w:rsid w:val="00AF452D"/>
    <w:rsid w:val="00B12F8D"/>
    <w:rsid w:val="00B4110F"/>
    <w:rsid w:val="00B41E2E"/>
    <w:rsid w:val="00B420A3"/>
    <w:rsid w:val="00B76E4B"/>
    <w:rsid w:val="00B87C75"/>
    <w:rsid w:val="00BB3398"/>
    <w:rsid w:val="00BB7145"/>
    <w:rsid w:val="00BD45D5"/>
    <w:rsid w:val="00C46CA6"/>
    <w:rsid w:val="00C66482"/>
    <w:rsid w:val="00CA3B97"/>
    <w:rsid w:val="00CA5058"/>
    <w:rsid w:val="00CB0041"/>
    <w:rsid w:val="00CB61B4"/>
    <w:rsid w:val="00CB70E7"/>
    <w:rsid w:val="00CC6DF3"/>
    <w:rsid w:val="00CC7594"/>
    <w:rsid w:val="00CE04AE"/>
    <w:rsid w:val="00CE756A"/>
    <w:rsid w:val="00D133CF"/>
    <w:rsid w:val="00D20069"/>
    <w:rsid w:val="00D33139"/>
    <w:rsid w:val="00D368DF"/>
    <w:rsid w:val="00D4582B"/>
    <w:rsid w:val="00DB7925"/>
    <w:rsid w:val="00DD15E0"/>
    <w:rsid w:val="00DD49FF"/>
    <w:rsid w:val="00DF29FB"/>
    <w:rsid w:val="00E06436"/>
    <w:rsid w:val="00E55001"/>
    <w:rsid w:val="00E56D80"/>
    <w:rsid w:val="00E659B7"/>
    <w:rsid w:val="00E755E4"/>
    <w:rsid w:val="00E8558B"/>
    <w:rsid w:val="00E85E66"/>
    <w:rsid w:val="00EC2551"/>
    <w:rsid w:val="00EE3456"/>
    <w:rsid w:val="00EF3BA9"/>
    <w:rsid w:val="00F40FBD"/>
    <w:rsid w:val="00F4251A"/>
    <w:rsid w:val="00F6068B"/>
    <w:rsid w:val="00F7089E"/>
    <w:rsid w:val="00F711F5"/>
    <w:rsid w:val="00F7369A"/>
    <w:rsid w:val="00F807E0"/>
    <w:rsid w:val="00F812EE"/>
    <w:rsid w:val="00F9397B"/>
    <w:rsid w:val="00F95759"/>
    <w:rsid w:val="00FA3E90"/>
    <w:rsid w:val="00FC766C"/>
    <w:rsid w:val="00FD0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9308"/>
  <w15:chartTrackingRefBased/>
  <w15:docId w15:val="{5D72557B-EF8B-4DCA-BE05-4A9FF0F9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F43"/>
    <w:rPr>
      <w:rFonts w:eastAsiaTheme="majorEastAsia" w:cstheme="majorBidi"/>
      <w:color w:val="272727" w:themeColor="text1" w:themeTint="D8"/>
    </w:rPr>
  </w:style>
  <w:style w:type="paragraph" w:styleId="Title">
    <w:name w:val="Title"/>
    <w:basedOn w:val="Normal"/>
    <w:next w:val="Normal"/>
    <w:link w:val="TitleChar"/>
    <w:uiPriority w:val="10"/>
    <w:qFormat/>
    <w:rsid w:val="003A6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F43"/>
    <w:pPr>
      <w:spacing w:before="160"/>
      <w:jc w:val="center"/>
    </w:pPr>
    <w:rPr>
      <w:i/>
      <w:iCs/>
      <w:color w:val="404040" w:themeColor="text1" w:themeTint="BF"/>
    </w:rPr>
  </w:style>
  <w:style w:type="character" w:customStyle="1" w:styleId="QuoteChar">
    <w:name w:val="Quote Char"/>
    <w:basedOn w:val="DefaultParagraphFont"/>
    <w:link w:val="Quote"/>
    <w:uiPriority w:val="29"/>
    <w:rsid w:val="003A6F43"/>
    <w:rPr>
      <w:i/>
      <w:iCs/>
      <w:color w:val="404040" w:themeColor="text1" w:themeTint="BF"/>
    </w:rPr>
  </w:style>
  <w:style w:type="paragraph" w:styleId="ListParagraph">
    <w:name w:val="List Paragraph"/>
    <w:basedOn w:val="Normal"/>
    <w:uiPriority w:val="34"/>
    <w:qFormat/>
    <w:rsid w:val="003A6F43"/>
    <w:pPr>
      <w:ind w:left="720"/>
      <w:contextualSpacing/>
    </w:pPr>
  </w:style>
  <w:style w:type="character" w:styleId="IntenseEmphasis">
    <w:name w:val="Intense Emphasis"/>
    <w:basedOn w:val="DefaultParagraphFont"/>
    <w:uiPriority w:val="21"/>
    <w:qFormat/>
    <w:rsid w:val="003A6F43"/>
    <w:rPr>
      <w:i/>
      <w:iCs/>
      <w:color w:val="0F4761" w:themeColor="accent1" w:themeShade="BF"/>
    </w:rPr>
  </w:style>
  <w:style w:type="paragraph" w:styleId="IntenseQuote">
    <w:name w:val="Intense Quote"/>
    <w:basedOn w:val="Normal"/>
    <w:next w:val="Normal"/>
    <w:link w:val="IntenseQuoteChar"/>
    <w:uiPriority w:val="30"/>
    <w:qFormat/>
    <w:rsid w:val="003A6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F43"/>
    <w:rPr>
      <w:i/>
      <w:iCs/>
      <w:color w:val="0F4761" w:themeColor="accent1" w:themeShade="BF"/>
    </w:rPr>
  </w:style>
  <w:style w:type="character" w:styleId="IntenseReference">
    <w:name w:val="Intense Reference"/>
    <w:basedOn w:val="DefaultParagraphFont"/>
    <w:uiPriority w:val="32"/>
    <w:qFormat/>
    <w:rsid w:val="003A6F43"/>
    <w:rPr>
      <w:b/>
      <w:bCs/>
      <w:smallCaps/>
      <w:color w:val="0F4761" w:themeColor="accent1" w:themeShade="BF"/>
      <w:spacing w:val="5"/>
    </w:rPr>
  </w:style>
  <w:style w:type="character" w:styleId="Hyperlink">
    <w:name w:val="Hyperlink"/>
    <w:basedOn w:val="DefaultParagraphFont"/>
    <w:uiPriority w:val="99"/>
    <w:unhideWhenUsed/>
    <w:rsid w:val="00CA5058"/>
    <w:rPr>
      <w:color w:val="467886" w:themeColor="hyperlink"/>
      <w:u w:val="single"/>
    </w:rPr>
  </w:style>
  <w:style w:type="character" w:styleId="FollowedHyperlink">
    <w:name w:val="FollowedHyperlink"/>
    <w:basedOn w:val="DefaultParagraphFont"/>
    <w:uiPriority w:val="99"/>
    <w:semiHidden/>
    <w:unhideWhenUsed/>
    <w:rsid w:val="00EF3BA9"/>
    <w:rPr>
      <w:color w:val="96607D" w:themeColor="followedHyperlink"/>
      <w:u w:val="single"/>
    </w:rPr>
  </w:style>
  <w:style w:type="character" w:styleId="UnresolvedMention">
    <w:name w:val="Unresolved Mention"/>
    <w:basedOn w:val="DefaultParagraphFont"/>
    <w:uiPriority w:val="99"/>
    <w:semiHidden/>
    <w:unhideWhenUsed/>
    <w:rsid w:val="00CC7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dn.intelligencebank.com/eu/share/qMbw14/NZMLN/jgWvv/original/BMA+GPC+England-+Navigating+the+Risks+for+General+Practice+%E2%80%93+A+Response+to+the+ICB+Draft+Blueprint+NEW+TEXT+24.06+FIN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1645</Words>
  <Characters>9382</Characters>
  <Application>Microsoft Office Word</Application>
  <DocSecurity>0</DocSecurity>
  <Lines>78</Lines>
  <Paragraphs>22</Paragraphs>
  <ScaleCrop>false</ScaleCrop>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FARMER, Gillian (GP LOCUM)</dc:creator>
  <cp:keywords/>
  <dc:description/>
  <cp:lastModifiedBy>tim horsburgh</cp:lastModifiedBy>
  <cp:revision>2</cp:revision>
  <dcterms:created xsi:type="dcterms:W3CDTF">2025-08-26T08:08:00Z</dcterms:created>
  <dcterms:modified xsi:type="dcterms:W3CDTF">2025-08-26T08:08:00Z</dcterms:modified>
</cp:coreProperties>
</file>