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D112" w14:textId="311BB8D5" w:rsidR="00255DCA" w:rsidRPr="00255DCA" w:rsidRDefault="00255DCA" w:rsidP="009C1BD3">
      <w:pPr>
        <w:rPr>
          <w:sz w:val="32"/>
          <w:szCs w:val="32"/>
        </w:rPr>
      </w:pPr>
      <w:r w:rsidRPr="009C1BD3">
        <w:rPr>
          <w:b/>
          <w:bCs/>
          <w:sz w:val="32"/>
          <w:szCs w:val="32"/>
        </w:rPr>
        <w:t>Model Integrated Care Board (ICB) – Blueprint v1.0</w:t>
      </w:r>
      <w:r w:rsidR="000C4451">
        <w:rPr>
          <w:b/>
          <w:bCs/>
          <w:sz w:val="32"/>
          <w:szCs w:val="32"/>
        </w:rPr>
        <w:t>. - A Summary for LMCs</w:t>
      </w:r>
    </w:p>
    <w:p w14:paraId="11333C2D" w14:textId="7676DE32" w:rsidR="009C1BD3" w:rsidRDefault="009C1BD3" w:rsidP="009C1BD3">
      <w:r w:rsidRPr="009C1BD3">
        <w:t xml:space="preserve">The </w:t>
      </w:r>
      <w:bookmarkStart w:id="0" w:name="_Hlk198123050"/>
      <w:r w:rsidRPr="009C1BD3">
        <w:rPr>
          <w:b/>
          <w:bCs/>
        </w:rPr>
        <w:t>Model Integrated Care Board (ICB) – Blueprint v1.0</w:t>
      </w:r>
      <w:r w:rsidRPr="009C1BD3">
        <w:t xml:space="preserve"> </w:t>
      </w:r>
      <w:bookmarkEnd w:id="0"/>
      <w:r w:rsidR="001F7CF2" w:rsidRPr="001F7CF2">
        <w:t xml:space="preserve">outlines a transformative redesign of Integrated Care Boards (ICBs) to align with the NHS 10-Year Health Plan. </w:t>
      </w:r>
      <w:r w:rsidR="00534FB4">
        <w:t>It provides</w:t>
      </w:r>
      <w:r w:rsidRPr="009C1BD3">
        <w:t xml:space="preserve"> a strategic framework for the future role, functions, and structure of I</w:t>
      </w:r>
      <w:r w:rsidR="003B6AAB">
        <w:t>CBs</w:t>
      </w:r>
      <w:r w:rsidRPr="009C1BD3">
        <w:t xml:space="preserve"> in England. </w:t>
      </w:r>
      <w:r w:rsidR="00942F7C">
        <w:t xml:space="preserve"> This summary</w:t>
      </w:r>
      <w:r w:rsidR="00F42DBA">
        <w:t xml:space="preserve"> document </w:t>
      </w:r>
      <w:r w:rsidR="00942F7C">
        <w:t>is provided for LMCs to use in discussion with GPs</w:t>
      </w:r>
      <w:r w:rsidR="00F42DBA">
        <w:t>.</w:t>
      </w:r>
    </w:p>
    <w:p w14:paraId="06E2C861" w14:textId="157D8DEB" w:rsidR="00BB5A13" w:rsidRPr="00255DCA" w:rsidRDefault="00BB5A13" w:rsidP="009C1BD3">
      <w:pPr>
        <w:rPr>
          <w:b/>
          <w:bCs/>
          <w:sz w:val="28"/>
          <w:szCs w:val="28"/>
        </w:rPr>
      </w:pPr>
      <w:r w:rsidRPr="00255DCA">
        <w:rPr>
          <w:b/>
          <w:bCs/>
          <w:sz w:val="28"/>
          <w:szCs w:val="28"/>
        </w:rPr>
        <w:t>Introduction</w:t>
      </w:r>
    </w:p>
    <w:p w14:paraId="759835E1" w14:textId="62A7779F" w:rsidR="009C1BD3" w:rsidRPr="00624400" w:rsidRDefault="00162B7A" w:rsidP="009C1BD3">
      <w:pPr>
        <w:rPr>
          <w:b/>
          <w:bCs/>
        </w:rPr>
      </w:pPr>
      <w:r>
        <w:t xml:space="preserve">The Blueprint </w:t>
      </w:r>
      <w:r w:rsidR="00F97AF5">
        <w:t>was</w:t>
      </w:r>
      <w:r>
        <w:t xml:space="preserve"> written by </w:t>
      </w:r>
      <w:r w:rsidR="004F7A9F">
        <w:t xml:space="preserve">a group of </w:t>
      </w:r>
      <w:r>
        <w:t>ICB</w:t>
      </w:r>
      <w:r w:rsidR="004F7A9F">
        <w:t xml:space="preserve"> leaders in partnership with NHS England</w:t>
      </w:r>
      <w:r w:rsidR="00F61AE9">
        <w:t xml:space="preserve"> on the basis that d</w:t>
      </w:r>
      <w:r w:rsidR="00D240A9" w:rsidRPr="00D240A9">
        <w:t xml:space="preserve">elivery of the 10 Year Health Plan will require a leaner way of working, where every part of the NHS is clear on its purpose, what it is accountable for, and to whom. </w:t>
      </w:r>
      <w:r w:rsidR="001D3E04">
        <w:t xml:space="preserve"> </w:t>
      </w:r>
      <w:r w:rsidR="006E7B85">
        <w:t>It</w:t>
      </w:r>
      <w:r w:rsidR="00A50FB1">
        <w:t xml:space="preserve"> was developed without a clear</w:t>
      </w:r>
      <w:r w:rsidR="001D3E04">
        <w:t xml:space="preserve"> </w:t>
      </w:r>
      <w:r w:rsidR="001D3E04" w:rsidRPr="001D3E04">
        <w:t>picture of what the future of neighbourhood health will look like or the role of the centre or regional teams.</w:t>
      </w:r>
      <w:r w:rsidR="0042567E">
        <w:t xml:space="preserve">  </w:t>
      </w:r>
      <w:r w:rsidR="006E7B85">
        <w:t>T</w:t>
      </w:r>
      <w:r w:rsidR="00F654DE">
        <w:t xml:space="preserve">he </w:t>
      </w:r>
      <w:r w:rsidR="00F654DE" w:rsidRPr="00F654DE">
        <w:t xml:space="preserve">10 Year Plan </w:t>
      </w:r>
      <w:r w:rsidR="006E7B85">
        <w:t xml:space="preserve">is </w:t>
      </w:r>
      <w:r w:rsidR="00BC580A">
        <w:t>expected to</w:t>
      </w:r>
      <w:r w:rsidR="00F654DE" w:rsidRPr="00F654DE">
        <w:t xml:space="preserve"> set out more detail on the wider system architecture</w:t>
      </w:r>
      <w:r w:rsidR="00F654DE">
        <w:t>.</w:t>
      </w:r>
      <w:r w:rsidR="00F654DE" w:rsidRPr="00F654DE">
        <w:t xml:space="preserve"> </w:t>
      </w:r>
      <w:r w:rsidR="00A90C09">
        <w:t xml:space="preserve">  </w:t>
      </w:r>
      <w:r w:rsidR="00A90C09" w:rsidRPr="00A90C09">
        <w:t xml:space="preserve">ICBs </w:t>
      </w:r>
      <w:r w:rsidR="00F92969">
        <w:t xml:space="preserve">will </w:t>
      </w:r>
      <w:r w:rsidR="00A90C09" w:rsidRPr="00A90C09">
        <w:t xml:space="preserve">have a role to play as </w:t>
      </w:r>
      <w:r w:rsidR="00A90C09" w:rsidRPr="00624400">
        <w:rPr>
          <w:b/>
          <w:bCs/>
        </w:rPr>
        <w:t>strategic commissioners working to improve population health, reduce inequalities and improve access to more consistently high-quality care</w:t>
      </w:r>
      <w:r w:rsidR="00F92969" w:rsidRPr="00624400">
        <w:rPr>
          <w:b/>
          <w:bCs/>
        </w:rPr>
        <w:t>.</w:t>
      </w:r>
    </w:p>
    <w:p w14:paraId="6B57E708" w14:textId="26FCF864" w:rsidR="009C1BD3" w:rsidRPr="009C1BD3" w:rsidRDefault="009C1BD3" w:rsidP="009C1BD3">
      <w:pPr>
        <w:rPr>
          <w:b/>
          <w:bCs/>
          <w:sz w:val="28"/>
          <w:szCs w:val="28"/>
        </w:rPr>
      </w:pPr>
      <w:r w:rsidRPr="009C1BD3">
        <w:rPr>
          <w:b/>
          <w:bCs/>
          <w:sz w:val="28"/>
          <w:szCs w:val="28"/>
        </w:rPr>
        <w:t>Context</w:t>
      </w:r>
    </w:p>
    <w:p w14:paraId="26470622" w14:textId="205AC47B" w:rsidR="009C1BD3" w:rsidRDefault="005A5F4B" w:rsidP="009C1BD3">
      <w:pPr>
        <w:numPr>
          <w:ilvl w:val="0"/>
          <w:numId w:val="1"/>
        </w:numPr>
      </w:pPr>
      <w:r>
        <w:t>Integrated care Boards (</w:t>
      </w:r>
      <w:r w:rsidR="009C1BD3" w:rsidRPr="009C1BD3">
        <w:t>ICBs</w:t>
      </w:r>
      <w:r>
        <w:t>)</w:t>
      </w:r>
      <w:r w:rsidR="00744BF0">
        <w:t>,</w:t>
      </w:r>
      <w:r w:rsidR="009C1BD3" w:rsidRPr="009C1BD3">
        <w:t xml:space="preserve"> established in July 2022, are </w:t>
      </w:r>
      <w:r w:rsidR="008376A8">
        <w:t xml:space="preserve">the </w:t>
      </w:r>
      <w:r w:rsidR="009C1BD3" w:rsidRPr="009C1BD3">
        <w:t>statutory NHS bodies tasked with planning, commissioning, and overseeing health services in their local areas.</w:t>
      </w:r>
    </w:p>
    <w:p w14:paraId="512ED405" w14:textId="06E999B5" w:rsidR="008B612C" w:rsidRPr="009C1BD3" w:rsidRDefault="008B612C" w:rsidP="00274D2A">
      <w:pPr>
        <w:numPr>
          <w:ilvl w:val="0"/>
          <w:numId w:val="1"/>
        </w:numPr>
      </w:pPr>
      <w:r>
        <w:t>ICB</w:t>
      </w:r>
      <w:r w:rsidR="00287F2D">
        <w:t xml:space="preserve"> d</w:t>
      </w:r>
      <w:r w:rsidRPr="008B612C">
        <w:t>elivery functions</w:t>
      </w:r>
      <w:r w:rsidR="00287F2D">
        <w:t xml:space="preserve"> currently</w:t>
      </w:r>
      <w:r w:rsidRPr="008B612C">
        <w:t xml:space="preserve"> includ</w:t>
      </w:r>
      <w:r w:rsidR="00287F2D">
        <w:t>e</w:t>
      </w:r>
      <w:r w:rsidR="00274D2A">
        <w:t xml:space="preserve"> </w:t>
      </w:r>
      <w:r w:rsidRPr="008B612C">
        <w:t>emergency planning</w:t>
      </w:r>
      <w:r w:rsidR="00274D2A">
        <w:t xml:space="preserve">, </w:t>
      </w:r>
      <w:r w:rsidRPr="008B612C">
        <w:t>safeguarding</w:t>
      </w:r>
      <w:r w:rsidR="00274D2A">
        <w:t xml:space="preserve">, </w:t>
      </w:r>
      <w:r w:rsidRPr="008B612C">
        <w:t>NHS Continuing Healthcare assessment and provision.</w:t>
      </w:r>
    </w:p>
    <w:p w14:paraId="218CE277" w14:textId="464CC3F6" w:rsidR="009C1BD3" w:rsidRDefault="000C05E9" w:rsidP="009C1BD3">
      <w:pPr>
        <w:numPr>
          <w:ilvl w:val="0"/>
          <w:numId w:val="1"/>
        </w:numPr>
      </w:pPr>
      <w:r>
        <w:t xml:space="preserve">The Darzi review </w:t>
      </w:r>
      <w:r w:rsidR="0091328B">
        <w:t xml:space="preserve">noted that </w:t>
      </w:r>
      <w:r w:rsidR="003C2184">
        <w:t>“</w:t>
      </w:r>
      <w:r w:rsidR="0091328B" w:rsidRPr="0091328B">
        <w:t>there have been differing interpretations of the role of ICBs</w:t>
      </w:r>
      <w:r w:rsidR="00423316">
        <w:t xml:space="preserve"> resulting in </w:t>
      </w:r>
      <w:r w:rsidR="00423316" w:rsidRPr="00423316">
        <w:t>increasing resources directed to acute providers, when the four objectives should have instead led to the opposite outcome.</w:t>
      </w:r>
      <w:r w:rsidR="003C2184">
        <w:t>”</w:t>
      </w:r>
      <w:r w:rsidR="008B4052">
        <w:t xml:space="preserve">  </w:t>
      </w:r>
      <w:r w:rsidR="00121AC3">
        <w:t>The review advocate</w:t>
      </w:r>
      <w:r w:rsidR="00B84D71">
        <w:t>d</w:t>
      </w:r>
      <w:r w:rsidR="00121AC3">
        <w:t xml:space="preserve"> for </w:t>
      </w:r>
      <w:r w:rsidR="008B4052" w:rsidRPr="008B4052">
        <w:t>a rebuilding of strategic commissioning capabilities, requiring “as strong a focus on strategy as much as performance” and a parallel investment in the skills required to “commission care wisely as much as to provide it well”.</w:t>
      </w:r>
    </w:p>
    <w:p w14:paraId="587004C6" w14:textId="77777777" w:rsidR="007B3131" w:rsidRDefault="005B3EA6" w:rsidP="007B3131">
      <w:pPr>
        <w:numPr>
          <w:ilvl w:val="0"/>
          <w:numId w:val="1"/>
        </w:numPr>
      </w:pPr>
      <w:r>
        <w:t xml:space="preserve">The Secretary of State </w:t>
      </w:r>
      <w:r w:rsidR="00A40D5E">
        <w:t xml:space="preserve">has committed to focusing on </w:t>
      </w:r>
      <w:r w:rsidR="00460178">
        <w:t>three shifts</w:t>
      </w:r>
      <w:r w:rsidR="001036F5">
        <w:t xml:space="preserve"> </w:t>
      </w:r>
      <w:r w:rsidR="00030DCE">
        <w:t>which</w:t>
      </w:r>
      <w:r w:rsidR="001036F5">
        <w:t xml:space="preserve"> form the basis </w:t>
      </w:r>
      <w:r w:rsidR="00887468">
        <w:t xml:space="preserve">of the model ICB’s approach </w:t>
      </w:r>
      <w:r w:rsidR="008378DD">
        <w:t>to redesign</w:t>
      </w:r>
      <w:r w:rsidR="009033D2">
        <w:t xml:space="preserve"> namely </w:t>
      </w:r>
      <w:r w:rsidR="009C1BD3" w:rsidRPr="00930929">
        <w:rPr>
          <w:b/>
          <w:bCs/>
        </w:rPr>
        <w:t xml:space="preserve">Treatment </w:t>
      </w:r>
      <w:r w:rsidR="00B46A48" w:rsidRPr="00930929">
        <w:rPr>
          <w:b/>
          <w:bCs/>
        </w:rPr>
        <w:t>to</w:t>
      </w:r>
      <w:r w:rsidR="009C1BD3" w:rsidRPr="00930929">
        <w:rPr>
          <w:b/>
          <w:bCs/>
        </w:rPr>
        <w:t xml:space="preserve"> Prevention</w:t>
      </w:r>
      <w:r w:rsidR="009C1BD3" w:rsidRPr="009C1BD3">
        <w:br/>
      </w:r>
      <w:r w:rsidR="009033D2">
        <w:t xml:space="preserve">(with </w:t>
      </w:r>
      <w:r w:rsidR="00B5161A">
        <w:t xml:space="preserve">an </w:t>
      </w:r>
      <w:r w:rsidR="009033D2">
        <w:t>emphasis</w:t>
      </w:r>
      <w:r w:rsidR="003711C0">
        <w:t xml:space="preserve"> on preventative health and </w:t>
      </w:r>
      <w:r w:rsidR="00C70583">
        <w:t>wellbeing</w:t>
      </w:r>
      <w:r w:rsidR="00B5161A">
        <w:t xml:space="preserve">, </w:t>
      </w:r>
      <w:r w:rsidR="00C70583">
        <w:t>proactive</w:t>
      </w:r>
      <w:r w:rsidR="007C2721">
        <w:t xml:space="preserve"> community and</w:t>
      </w:r>
      <w:r w:rsidR="009C1BD3" w:rsidRPr="009C1BD3">
        <w:t xml:space="preserve"> public health </w:t>
      </w:r>
      <w:r w:rsidR="00231A36">
        <w:t>initiatives</w:t>
      </w:r>
      <w:r w:rsidR="00B5161A">
        <w:t xml:space="preserve"> and r</w:t>
      </w:r>
      <w:r w:rsidR="009C1BD3" w:rsidRPr="009C1BD3">
        <w:t>educing health inequalities</w:t>
      </w:r>
      <w:r w:rsidR="00736F37">
        <w:t xml:space="preserve">), </w:t>
      </w:r>
      <w:r w:rsidR="009C1BD3" w:rsidRPr="00736F37">
        <w:rPr>
          <w:b/>
          <w:bCs/>
        </w:rPr>
        <w:t xml:space="preserve">Hospital </w:t>
      </w:r>
      <w:r w:rsidR="009C5CF2" w:rsidRPr="00736F37">
        <w:rPr>
          <w:b/>
          <w:bCs/>
        </w:rPr>
        <w:t>to</w:t>
      </w:r>
      <w:r w:rsidR="009C1BD3" w:rsidRPr="00736F37">
        <w:rPr>
          <w:b/>
          <w:bCs/>
        </w:rPr>
        <w:t xml:space="preserve"> Community</w:t>
      </w:r>
      <w:r w:rsidR="00736F37">
        <w:t xml:space="preserve"> (m</w:t>
      </w:r>
      <w:r w:rsidR="004133AF">
        <w:t>oving care closer to home</w:t>
      </w:r>
      <w:r w:rsidR="00A05AEA">
        <w:t>, r</w:t>
      </w:r>
      <w:r w:rsidR="008F0B83">
        <w:t>educing reliance on secondary care</w:t>
      </w:r>
      <w:r w:rsidR="00A05AEA">
        <w:t xml:space="preserve">) and </w:t>
      </w:r>
      <w:r w:rsidR="009C1BD3" w:rsidRPr="00A05AEA">
        <w:rPr>
          <w:b/>
          <w:bCs/>
        </w:rPr>
        <w:t xml:space="preserve">Analogue </w:t>
      </w:r>
      <w:r w:rsidR="009C5CF2" w:rsidRPr="00A05AEA">
        <w:rPr>
          <w:b/>
          <w:bCs/>
        </w:rPr>
        <w:t>to</w:t>
      </w:r>
      <w:r w:rsidR="009C1BD3" w:rsidRPr="00A05AEA">
        <w:rPr>
          <w:b/>
          <w:bCs/>
        </w:rPr>
        <w:t xml:space="preserve"> Digital</w:t>
      </w:r>
      <w:r w:rsidR="00A05AEA">
        <w:t xml:space="preserve"> (</w:t>
      </w:r>
      <w:r w:rsidR="00B35F0A">
        <w:t xml:space="preserve"> h</w:t>
      </w:r>
      <w:r w:rsidR="002734AA">
        <w:t>arnessing</w:t>
      </w:r>
      <w:r w:rsidR="009C1BD3" w:rsidRPr="009C1BD3">
        <w:t xml:space="preserve"> data, analytics</w:t>
      </w:r>
      <w:r w:rsidR="00F81328">
        <w:t xml:space="preserve"> </w:t>
      </w:r>
      <w:r w:rsidR="00B35F0A">
        <w:t>-</w:t>
      </w:r>
      <w:r w:rsidR="009D70A9">
        <w:t>population health management, predictive modelling</w:t>
      </w:r>
      <w:r w:rsidR="009C1BD3" w:rsidRPr="009C1BD3">
        <w:t xml:space="preserve">, and digital tools for </w:t>
      </w:r>
      <w:r w:rsidR="00AF7936">
        <w:t>more efficient</w:t>
      </w:r>
      <w:r w:rsidR="009C1BD3" w:rsidRPr="009C1BD3">
        <w:t xml:space="preserve"> </w:t>
      </w:r>
      <w:r w:rsidR="00AF7936">
        <w:t xml:space="preserve">and personalised </w:t>
      </w:r>
      <w:r w:rsidR="009C1BD3" w:rsidRPr="009C1BD3">
        <w:t>care delivery</w:t>
      </w:r>
      <w:r w:rsidR="00B35F0A">
        <w:t>)</w:t>
      </w:r>
      <w:r w:rsidR="009C1BD3" w:rsidRPr="009C1BD3">
        <w:t>.</w:t>
      </w:r>
    </w:p>
    <w:p w14:paraId="16F446B7" w14:textId="2CCD3B7D" w:rsidR="009C1BD3" w:rsidRPr="00A132EC" w:rsidRDefault="009C1BD3" w:rsidP="007B3131">
      <w:r w:rsidRPr="007B3131">
        <w:rPr>
          <w:b/>
          <w:bCs/>
          <w:sz w:val="28"/>
          <w:szCs w:val="28"/>
        </w:rPr>
        <w:lastRenderedPageBreak/>
        <w:t>Purpose and Role of ICBs</w:t>
      </w:r>
    </w:p>
    <w:p w14:paraId="34499C1E" w14:textId="77777777" w:rsidR="009C1BD3" w:rsidRPr="009C1BD3" w:rsidRDefault="009C1BD3" w:rsidP="009C1BD3">
      <w:r w:rsidRPr="009C1BD3">
        <w:t>ICBs exist to:</w:t>
      </w:r>
    </w:p>
    <w:p w14:paraId="06F7093D" w14:textId="3C3E08F8" w:rsidR="009C1BD3" w:rsidRPr="009C1BD3" w:rsidRDefault="00A55CF6" w:rsidP="009C1BD3">
      <w:pPr>
        <w:numPr>
          <w:ilvl w:val="0"/>
          <w:numId w:val="3"/>
        </w:numPr>
      </w:pPr>
      <w:r>
        <w:t>Improve their population’s health by p</w:t>
      </w:r>
      <w:r w:rsidR="006E7402" w:rsidRPr="00C42415">
        <w:t>rovid</w:t>
      </w:r>
      <w:r>
        <w:t>ing</w:t>
      </w:r>
      <w:r w:rsidR="006E7402" w:rsidRPr="00C42415">
        <w:t xml:space="preserve"> system </w:t>
      </w:r>
      <w:r w:rsidR="00B97EF0">
        <w:t xml:space="preserve">leadership </w:t>
      </w:r>
      <w:r w:rsidR="001A3D93">
        <w:t>in</w:t>
      </w:r>
      <w:r w:rsidR="00B97EF0">
        <w:t xml:space="preserve"> setting</w:t>
      </w:r>
      <w:r w:rsidR="00C42415">
        <w:t xml:space="preserve"> </w:t>
      </w:r>
      <w:r w:rsidR="00346ADB" w:rsidRPr="00C42415">
        <w:t xml:space="preserve">the </w:t>
      </w:r>
      <w:r w:rsidR="004A0532" w:rsidRPr="00C42415">
        <w:t>long-term</w:t>
      </w:r>
      <w:r w:rsidR="00346ADB" w:rsidRPr="00C42415">
        <w:t xml:space="preserve"> </w:t>
      </w:r>
      <w:r w:rsidR="00C42415">
        <w:t xml:space="preserve">population health </w:t>
      </w:r>
      <w:r w:rsidR="00346ADB" w:rsidRPr="00C42415">
        <w:t>strategy</w:t>
      </w:r>
      <w:r w:rsidR="00056256">
        <w:t>.</w:t>
      </w:r>
    </w:p>
    <w:p w14:paraId="4E2A1092" w14:textId="32EAF7B3" w:rsidR="009C1BD3" w:rsidRPr="009C1BD3" w:rsidRDefault="009C1BD3" w:rsidP="009C1BD3">
      <w:pPr>
        <w:numPr>
          <w:ilvl w:val="0"/>
          <w:numId w:val="3"/>
        </w:numPr>
      </w:pPr>
      <w:r w:rsidRPr="009C1BD3">
        <w:t xml:space="preserve">Ensure </w:t>
      </w:r>
      <w:r w:rsidR="009F5F59">
        <w:t xml:space="preserve">access to </w:t>
      </w:r>
      <w:r w:rsidRPr="009C1BD3">
        <w:t>equitable, high-quality care</w:t>
      </w:r>
      <w:r w:rsidR="004D2D4C" w:rsidRPr="006F28FE">
        <w:t xml:space="preserve"> in line with best practice</w:t>
      </w:r>
      <w:r w:rsidR="00056256">
        <w:t>.</w:t>
      </w:r>
    </w:p>
    <w:p w14:paraId="3ECA9FB5" w14:textId="7B2D4D30" w:rsidR="009C1BD3" w:rsidRPr="009C1BD3" w:rsidRDefault="009C1BD3" w:rsidP="009C1BD3">
      <w:pPr>
        <w:numPr>
          <w:ilvl w:val="0"/>
          <w:numId w:val="3"/>
        </w:numPr>
      </w:pPr>
      <w:r w:rsidRPr="009C1BD3">
        <w:t xml:space="preserve">Act as strategic commissioners and </w:t>
      </w:r>
      <w:r w:rsidR="00CE4BAB" w:rsidRPr="00B0580A">
        <w:t xml:space="preserve">healthcare </w:t>
      </w:r>
      <w:r w:rsidRPr="009C1BD3">
        <w:t>payers</w:t>
      </w:r>
      <w:r w:rsidR="00344D61" w:rsidRPr="00B0580A">
        <w:t xml:space="preserve"> to </w:t>
      </w:r>
      <w:r w:rsidR="00B0580A" w:rsidRPr="00B0580A">
        <w:t>deliver the strategy</w:t>
      </w:r>
      <w:r w:rsidRPr="009C1BD3">
        <w:t>, aligning resources with long-term health outcomes</w:t>
      </w:r>
      <w:r w:rsidR="00056256">
        <w:t>.</w:t>
      </w:r>
    </w:p>
    <w:p w14:paraId="7E5DC774" w14:textId="13F72F5D" w:rsidR="009C1BD3" w:rsidRDefault="009C1BD3" w:rsidP="009C1BD3">
      <w:pPr>
        <w:numPr>
          <w:ilvl w:val="0"/>
          <w:numId w:val="3"/>
        </w:numPr>
      </w:pPr>
      <w:r w:rsidRPr="009C1BD3">
        <w:t>Manage risk, both clinical and financial, while co-producing strategy with communities and partners</w:t>
      </w:r>
      <w:r w:rsidR="00056256">
        <w:t>.</w:t>
      </w:r>
    </w:p>
    <w:p w14:paraId="65B02979" w14:textId="7E3C05ED" w:rsidR="00E458A4" w:rsidRDefault="00E458A4" w:rsidP="00594E56">
      <w:r w:rsidRPr="00E458A4">
        <w:t xml:space="preserve">The refreshed role </w:t>
      </w:r>
      <w:r>
        <w:t>of ICBs</w:t>
      </w:r>
      <w:r w:rsidR="0075516E">
        <w:t xml:space="preserve"> has been developed through a set of assumptions about a new system lan</w:t>
      </w:r>
      <w:r w:rsidR="00F81328">
        <w:t>d</w:t>
      </w:r>
      <w:r w:rsidR="0075516E">
        <w:t xml:space="preserve">scape as </w:t>
      </w:r>
      <w:r w:rsidR="00244F96">
        <w:t>below:</w:t>
      </w:r>
    </w:p>
    <w:p w14:paraId="67D89D34" w14:textId="77777777" w:rsidR="00F81328" w:rsidRPr="00E458A4" w:rsidRDefault="00F81328" w:rsidP="00594E56"/>
    <w:p w14:paraId="6EB9B223" w14:textId="13375F30" w:rsidR="009C1BD3" w:rsidRPr="009C1BD3" w:rsidRDefault="0074648A" w:rsidP="00A03D5D">
      <w:pPr>
        <w:ind w:left="720"/>
      </w:pPr>
      <w:r w:rsidRPr="0074648A">
        <w:rPr>
          <w:noProof/>
        </w:rPr>
        <w:drawing>
          <wp:inline distT="0" distB="0" distL="0" distR="0" wp14:anchorId="34E964B3" wp14:editId="60EBFAB9">
            <wp:extent cx="5731510" cy="4157345"/>
            <wp:effectExtent l="0" t="0" r="2540" b="0"/>
            <wp:docPr id="1816683870" name="Picture 1" descr="A diagram of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83870" name="Picture 1" descr="A diagram of a health care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157345"/>
                    </a:xfrm>
                    <a:prstGeom prst="rect">
                      <a:avLst/>
                    </a:prstGeom>
                    <a:noFill/>
                    <a:ln>
                      <a:noFill/>
                    </a:ln>
                  </pic:spPr>
                </pic:pic>
              </a:graphicData>
            </a:graphic>
          </wp:inline>
        </w:drawing>
      </w:r>
    </w:p>
    <w:p w14:paraId="64F3D270" w14:textId="2D1B784B" w:rsidR="009C1BD3" w:rsidRPr="009C1BD3" w:rsidRDefault="008B57AE" w:rsidP="009C1BD3">
      <w:pPr>
        <w:rPr>
          <w:b/>
          <w:bCs/>
          <w:sz w:val="28"/>
          <w:szCs w:val="28"/>
        </w:rPr>
      </w:pPr>
      <w:r w:rsidRPr="00255DCA">
        <w:rPr>
          <w:b/>
          <w:bCs/>
          <w:sz w:val="28"/>
          <w:szCs w:val="28"/>
        </w:rPr>
        <w:t>Model</w:t>
      </w:r>
      <w:r w:rsidR="009C1BD3" w:rsidRPr="009C1BD3">
        <w:rPr>
          <w:b/>
          <w:bCs/>
          <w:sz w:val="28"/>
          <w:szCs w:val="28"/>
        </w:rPr>
        <w:t xml:space="preserve"> ICB</w:t>
      </w:r>
      <w:r w:rsidRPr="00255DCA">
        <w:rPr>
          <w:b/>
          <w:bCs/>
          <w:sz w:val="28"/>
          <w:szCs w:val="28"/>
        </w:rPr>
        <w:t xml:space="preserve"> </w:t>
      </w:r>
      <w:r w:rsidR="000C1AEE" w:rsidRPr="00255DCA">
        <w:rPr>
          <w:b/>
          <w:bCs/>
          <w:sz w:val="28"/>
          <w:szCs w:val="28"/>
        </w:rPr>
        <w:t>Core Functions and Activities</w:t>
      </w:r>
    </w:p>
    <w:p w14:paraId="78DCF7EA" w14:textId="4386EC8B" w:rsidR="009C1BD3" w:rsidRPr="009C1BD3" w:rsidRDefault="005054A6" w:rsidP="009C1BD3">
      <w:r>
        <w:t xml:space="preserve">ICBs </w:t>
      </w:r>
      <w:r w:rsidR="000C1AEE">
        <w:t xml:space="preserve">will </w:t>
      </w:r>
      <w:r w:rsidR="00AE0D09">
        <w:t xml:space="preserve">now </w:t>
      </w:r>
      <w:r>
        <w:t>focus on four core functions</w:t>
      </w:r>
      <w:r w:rsidR="009C1BD3" w:rsidRPr="009C1BD3">
        <w:t>:</w:t>
      </w:r>
    </w:p>
    <w:p w14:paraId="501FB50E" w14:textId="652CC7C1" w:rsidR="009C1BD3" w:rsidRPr="009C1BD3" w:rsidRDefault="00C02647" w:rsidP="009C1BD3">
      <w:pPr>
        <w:rPr>
          <w:b/>
          <w:bCs/>
        </w:rPr>
      </w:pPr>
      <w:r>
        <w:rPr>
          <w:b/>
          <w:bCs/>
        </w:rPr>
        <w:t>1.</w:t>
      </w:r>
      <w:r w:rsidR="009C1BD3" w:rsidRPr="009C1BD3">
        <w:rPr>
          <w:b/>
          <w:bCs/>
        </w:rPr>
        <w:t xml:space="preserve">Understand Local </w:t>
      </w:r>
      <w:r w:rsidR="0054074B">
        <w:rPr>
          <w:b/>
          <w:bCs/>
        </w:rPr>
        <w:t>Context</w:t>
      </w:r>
    </w:p>
    <w:p w14:paraId="6B71CD66" w14:textId="60C45E80" w:rsidR="009C1BD3" w:rsidRPr="009C1BD3" w:rsidRDefault="009C1BD3" w:rsidP="009C1BD3">
      <w:pPr>
        <w:numPr>
          <w:ilvl w:val="0"/>
          <w:numId w:val="4"/>
        </w:numPr>
      </w:pPr>
      <w:r w:rsidRPr="009C1BD3">
        <w:lastRenderedPageBreak/>
        <w:t xml:space="preserve">Use data and insights to assess </w:t>
      </w:r>
      <w:r w:rsidR="00524DC0">
        <w:t xml:space="preserve">population </w:t>
      </w:r>
      <w:r w:rsidR="002C2239">
        <w:t xml:space="preserve">health </w:t>
      </w:r>
      <w:r w:rsidRPr="009C1BD3">
        <w:t>needs</w:t>
      </w:r>
      <w:r w:rsidR="00420761">
        <w:t xml:space="preserve"> now and in the </w:t>
      </w:r>
      <w:r w:rsidR="00CA2A0A">
        <w:t>future</w:t>
      </w:r>
      <w:r w:rsidR="00415F3F">
        <w:t>.  I</w:t>
      </w:r>
      <w:r w:rsidRPr="009C1BD3">
        <w:t>dentify inequalities</w:t>
      </w:r>
      <w:r w:rsidR="005B120B">
        <w:t xml:space="preserve"> </w:t>
      </w:r>
      <w:r w:rsidR="004D4F06">
        <w:t>using real time data</w:t>
      </w:r>
      <w:r w:rsidRPr="009C1BD3">
        <w:t>.</w:t>
      </w:r>
      <w:r w:rsidR="00524DC0">
        <w:t xml:space="preserve"> </w:t>
      </w:r>
      <w:r w:rsidR="00295EFD">
        <w:t>Stratify health risks</w:t>
      </w:r>
      <w:r w:rsidR="00331642">
        <w:t xml:space="preserve">. </w:t>
      </w:r>
      <w:r w:rsidR="00524DC0">
        <w:t xml:space="preserve">Assess </w:t>
      </w:r>
      <w:r w:rsidR="00BA7F69">
        <w:t xml:space="preserve">the </w:t>
      </w:r>
      <w:r w:rsidR="00CA2A0A">
        <w:t xml:space="preserve">effectiveness of </w:t>
      </w:r>
      <w:r w:rsidR="00BA7F69">
        <w:t>existing provision.</w:t>
      </w:r>
      <w:r w:rsidR="000C7B93">
        <w:t xml:space="preserve"> Understand current and future costs</w:t>
      </w:r>
      <w:r w:rsidR="001E5952">
        <w:t>.</w:t>
      </w:r>
    </w:p>
    <w:p w14:paraId="07E1B0CD" w14:textId="310E3990" w:rsidR="009C1BD3" w:rsidRPr="009C1BD3" w:rsidRDefault="001419B8" w:rsidP="009C1BD3">
      <w:pPr>
        <w:rPr>
          <w:b/>
          <w:bCs/>
        </w:rPr>
      </w:pPr>
      <w:r>
        <w:rPr>
          <w:b/>
          <w:bCs/>
        </w:rPr>
        <w:t>2</w:t>
      </w:r>
      <w:r w:rsidR="009C1BD3" w:rsidRPr="009C1BD3">
        <w:rPr>
          <w:b/>
          <w:bCs/>
        </w:rPr>
        <w:t>. Develop</w:t>
      </w:r>
      <w:r w:rsidR="00482562">
        <w:rPr>
          <w:b/>
          <w:bCs/>
        </w:rPr>
        <w:t xml:space="preserve"> </w:t>
      </w:r>
      <w:r w:rsidR="009C1BD3" w:rsidRPr="009C1BD3">
        <w:rPr>
          <w:b/>
          <w:bCs/>
        </w:rPr>
        <w:t xml:space="preserve">Long-Term </w:t>
      </w:r>
      <w:r>
        <w:rPr>
          <w:b/>
          <w:bCs/>
        </w:rPr>
        <w:t xml:space="preserve">Population </w:t>
      </w:r>
      <w:r w:rsidR="009C1BD3" w:rsidRPr="009C1BD3">
        <w:rPr>
          <w:b/>
          <w:bCs/>
        </w:rPr>
        <w:t>Strategy</w:t>
      </w:r>
    </w:p>
    <w:p w14:paraId="373C3B36" w14:textId="67273F81" w:rsidR="00D12EF3" w:rsidRPr="00D12EF3" w:rsidRDefault="009C1BD3" w:rsidP="00D12EF3">
      <w:pPr>
        <w:numPr>
          <w:ilvl w:val="0"/>
          <w:numId w:val="5"/>
        </w:numPr>
      </w:pPr>
      <w:r w:rsidRPr="009C1BD3">
        <w:t xml:space="preserve">Design and test </w:t>
      </w:r>
      <w:r w:rsidR="00D12EF3">
        <w:t xml:space="preserve">population </w:t>
      </w:r>
      <w:r w:rsidRPr="009C1BD3">
        <w:t>health strategies with stakeholders</w:t>
      </w:r>
      <w:r w:rsidR="009D40DB">
        <w:t xml:space="preserve">. Work closely with </w:t>
      </w:r>
      <w:r w:rsidR="00C67005">
        <w:t>clinical leaders</w:t>
      </w:r>
      <w:r w:rsidRPr="009C1BD3">
        <w:t>.</w:t>
      </w:r>
      <w:r w:rsidR="00FB75D9">
        <w:t xml:space="preserve"> </w:t>
      </w:r>
    </w:p>
    <w:p w14:paraId="78486DEE" w14:textId="72E0CCF3" w:rsidR="009C1BD3" w:rsidRPr="009C1BD3" w:rsidRDefault="00FB75D9" w:rsidP="009C1BD3">
      <w:pPr>
        <w:numPr>
          <w:ilvl w:val="0"/>
          <w:numId w:val="5"/>
        </w:numPr>
      </w:pPr>
      <w:r>
        <w:t>Draw on a variety of inputs</w:t>
      </w:r>
      <w:r w:rsidR="004A4627">
        <w:t xml:space="preserve"> </w:t>
      </w:r>
      <w:r w:rsidR="009F10CC">
        <w:t>(e.g.</w:t>
      </w:r>
      <w:r w:rsidR="004A4627">
        <w:t xml:space="preserve"> </w:t>
      </w:r>
      <w:r w:rsidR="00D42C7B">
        <w:t>user priorities, data analysis, evidence base on what works</w:t>
      </w:r>
      <w:r w:rsidR="00950F30">
        <w:t xml:space="preserve">, horizon scanning, </w:t>
      </w:r>
      <w:r w:rsidR="00C62C33">
        <w:t>bottom-up</w:t>
      </w:r>
      <w:r w:rsidR="00950F30">
        <w:t xml:space="preserve"> costing</w:t>
      </w:r>
      <w:r w:rsidR="00C62C33">
        <w:t xml:space="preserve">, impact </w:t>
      </w:r>
      <w:r w:rsidR="009D40DB">
        <w:t>analysis)</w:t>
      </w:r>
      <w:r w:rsidR="00950F30">
        <w:t>.</w:t>
      </w:r>
    </w:p>
    <w:p w14:paraId="45FED41C" w14:textId="7EB2E16C" w:rsidR="00806516" w:rsidRPr="009C1BD3" w:rsidRDefault="009C1BD3" w:rsidP="00311D15">
      <w:pPr>
        <w:numPr>
          <w:ilvl w:val="0"/>
          <w:numId w:val="5"/>
        </w:numPr>
      </w:pPr>
      <w:r w:rsidRPr="009C1BD3">
        <w:t>Align funding with population needs and best-value interventions</w:t>
      </w:r>
      <w:r w:rsidR="004A6892">
        <w:t xml:space="preserve"> based on evidence</w:t>
      </w:r>
      <w:r w:rsidR="00311D15">
        <w:t>.</w:t>
      </w:r>
    </w:p>
    <w:p w14:paraId="6DD76B93" w14:textId="59680230" w:rsidR="009C1BD3" w:rsidRPr="009C1BD3" w:rsidRDefault="001419B8" w:rsidP="009C1BD3">
      <w:pPr>
        <w:rPr>
          <w:b/>
          <w:bCs/>
        </w:rPr>
      </w:pPr>
      <w:r>
        <w:rPr>
          <w:b/>
          <w:bCs/>
        </w:rPr>
        <w:t>3</w:t>
      </w:r>
      <w:r w:rsidR="009C1BD3" w:rsidRPr="009C1BD3">
        <w:rPr>
          <w:b/>
          <w:bCs/>
        </w:rPr>
        <w:t>. Deliver</w:t>
      </w:r>
      <w:r w:rsidR="00311D15">
        <w:rPr>
          <w:b/>
          <w:bCs/>
        </w:rPr>
        <w:t xml:space="preserve"> the</w:t>
      </w:r>
      <w:r w:rsidR="009C1BD3" w:rsidRPr="009C1BD3">
        <w:rPr>
          <w:b/>
          <w:bCs/>
        </w:rPr>
        <w:t xml:space="preserve"> Strategy through P</w:t>
      </w:r>
      <w:r w:rsidR="005B5CB2">
        <w:rPr>
          <w:b/>
          <w:bCs/>
        </w:rPr>
        <w:t>ayer Function</w:t>
      </w:r>
      <w:r w:rsidR="00074500">
        <w:rPr>
          <w:b/>
          <w:bCs/>
        </w:rPr>
        <w:t>s</w:t>
      </w:r>
      <w:r w:rsidR="005B5CB2">
        <w:rPr>
          <w:b/>
          <w:bCs/>
        </w:rPr>
        <w:t xml:space="preserve"> and Resource Allocation</w:t>
      </w:r>
    </w:p>
    <w:p w14:paraId="7C46CFC0" w14:textId="77777777" w:rsidR="009C1BD3" w:rsidRDefault="009C1BD3" w:rsidP="009C1BD3">
      <w:pPr>
        <w:numPr>
          <w:ilvl w:val="0"/>
          <w:numId w:val="6"/>
        </w:numPr>
      </w:pPr>
      <w:r w:rsidRPr="009C1BD3">
        <w:t>Strategic commissioning of services, shaping the provider market.</w:t>
      </w:r>
    </w:p>
    <w:p w14:paraId="154A0D7A" w14:textId="4EA246B3" w:rsidR="00691B74" w:rsidRDefault="0082126B" w:rsidP="009C1BD3">
      <w:pPr>
        <w:numPr>
          <w:ilvl w:val="0"/>
          <w:numId w:val="6"/>
        </w:numPr>
      </w:pPr>
      <w:r w:rsidRPr="0082126B">
        <w:t>Align funding to needs using data-driven models</w:t>
      </w:r>
      <w:r>
        <w:t>.</w:t>
      </w:r>
    </w:p>
    <w:p w14:paraId="198D8ECA" w14:textId="554A6E2A" w:rsidR="00D037FA" w:rsidRPr="009C1BD3" w:rsidRDefault="00D037FA" w:rsidP="009C1BD3">
      <w:pPr>
        <w:numPr>
          <w:ilvl w:val="0"/>
          <w:numId w:val="6"/>
        </w:numPr>
      </w:pPr>
      <w:r w:rsidRPr="00D037FA">
        <w:t>Prioritis</w:t>
      </w:r>
      <w:r w:rsidR="008B7608">
        <w:t>e</w:t>
      </w:r>
      <w:r w:rsidRPr="00D037FA">
        <w:t xml:space="preserve"> interventions to address health inequalities</w:t>
      </w:r>
      <w:r>
        <w:t>.</w:t>
      </w:r>
    </w:p>
    <w:p w14:paraId="439CE193" w14:textId="3B10D7A9" w:rsidR="009C1BD3" w:rsidRDefault="009C1BD3" w:rsidP="009C1BD3">
      <w:pPr>
        <w:numPr>
          <w:ilvl w:val="0"/>
          <w:numId w:val="6"/>
        </w:numPr>
      </w:pPr>
      <w:r w:rsidRPr="009C1BD3">
        <w:t>Design outcome-linked contracts, innovative payment models</w:t>
      </w:r>
      <w:r w:rsidR="002C56EC">
        <w:t xml:space="preserve"> </w:t>
      </w:r>
      <w:r w:rsidR="002C56EC" w:rsidRPr="002C56EC">
        <w:t>(</w:t>
      </w:r>
      <w:r w:rsidR="00295F14">
        <w:t>including designing incentives</w:t>
      </w:r>
      <w:r w:rsidR="00422B23">
        <w:t xml:space="preserve"> such as </w:t>
      </w:r>
      <w:r w:rsidR="002C56EC" w:rsidRPr="002C56EC">
        <w:t>blended payments, gainshare, shared savings</w:t>
      </w:r>
      <w:r w:rsidR="002C56EC">
        <w:t>)</w:t>
      </w:r>
      <w:r w:rsidRPr="009C1BD3">
        <w:t>, and manage resource allocation.</w:t>
      </w:r>
    </w:p>
    <w:p w14:paraId="6DCA25E7" w14:textId="2308335F" w:rsidR="0076464E" w:rsidRDefault="008B7608" w:rsidP="009C1BD3">
      <w:pPr>
        <w:numPr>
          <w:ilvl w:val="0"/>
          <w:numId w:val="6"/>
        </w:numPr>
      </w:pPr>
      <w:r w:rsidRPr="008B7608">
        <w:t>Monitor provider performance</w:t>
      </w:r>
      <w:r>
        <w:t>.</w:t>
      </w:r>
      <w:r w:rsidRPr="008B7608">
        <w:t xml:space="preserve"> </w:t>
      </w:r>
      <w:r w:rsidR="00130D34">
        <w:t>B</w:t>
      </w:r>
      <w:r w:rsidRPr="008B7608">
        <w:t>enchmark services with continuous review of impact, access and quality</w:t>
      </w:r>
      <w:r>
        <w:t>.</w:t>
      </w:r>
    </w:p>
    <w:p w14:paraId="7486A2BC" w14:textId="6FF6E8C0" w:rsidR="009C1BD3" w:rsidRPr="009C1BD3" w:rsidRDefault="001419B8" w:rsidP="009C1BD3">
      <w:pPr>
        <w:rPr>
          <w:b/>
          <w:bCs/>
        </w:rPr>
      </w:pPr>
      <w:r>
        <w:rPr>
          <w:b/>
          <w:bCs/>
        </w:rPr>
        <w:t>4</w:t>
      </w:r>
      <w:r w:rsidR="009C1BD3" w:rsidRPr="009C1BD3">
        <w:rPr>
          <w:b/>
          <w:bCs/>
        </w:rPr>
        <w:t>. Evaluat</w:t>
      </w:r>
      <w:r w:rsidR="00390FC2">
        <w:rPr>
          <w:b/>
          <w:bCs/>
        </w:rPr>
        <w:t>e</w:t>
      </w:r>
      <w:r w:rsidR="00C7734F">
        <w:rPr>
          <w:b/>
          <w:bCs/>
        </w:rPr>
        <w:t xml:space="preserve"> Impact</w:t>
      </w:r>
    </w:p>
    <w:p w14:paraId="6C1DFA6F" w14:textId="13563584" w:rsidR="009C1BD3" w:rsidRDefault="009C1BD3" w:rsidP="009C1BD3">
      <w:pPr>
        <w:numPr>
          <w:ilvl w:val="0"/>
          <w:numId w:val="7"/>
        </w:numPr>
      </w:pPr>
      <w:r w:rsidRPr="009C1BD3">
        <w:t>Monitor care utilisation</w:t>
      </w:r>
      <w:r w:rsidR="001B6682">
        <w:t xml:space="preserve"> </w:t>
      </w:r>
      <w:r w:rsidR="00532CB5">
        <w:t xml:space="preserve">(use </w:t>
      </w:r>
      <w:r w:rsidR="001B6682" w:rsidRPr="001B6682">
        <w:t>real-time dashboards for day-to-day oversight of service usage</w:t>
      </w:r>
      <w:r w:rsidR="00B8616C">
        <w:t>)</w:t>
      </w:r>
      <w:r w:rsidRPr="009C1BD3">
        <w:t>, outcomes, and user</w:t>
      </w:r>
      <w:r w:rsidR="00D23642">
        <w:t xml:space="preserve"> feedback</w:t>
      </w:r>
      <w:r w:rsidRPr="009C1BD3">
        <w:t>.</w:t>
      </w:r>
    </w:p>
    <w:p w14:paraId="551D6324" w14:textId="16257093" w:rsidR="009C1BD3" w:rsidRPr="009C1BD3" w:rsidRDefault="0033165A" w:rsidP="009C1BD3">
      <w:pPr>
        <w:numPr>
          <w:ilvl w:val="0"/>
          <w:numId w:val="7"/>
        </w:numPr>
      </w:pPr>
      <w:r>
        <w:t xml:space="preserve">Identify unwarranted variation.  </w:t>
      </w:r>
      <w:r w:rsidR="009C1BD3" w:rsidRPr="009C1BD3">
        <w:t>Embed continuous learning and adaptive planning.</w:t>
      </w:r>
    </w:p>
    <w:p w14:paraId="0CE89F1C" w14:textId="572E832A" w:rsidR="009C1BD3" w:rsidRDefault="00CE5956" w:rsidP="009C1BD3">
      <w:r w:rsidRPr="009C1BD3">
        <w:t>Additionally,</w:t>
      </w:r>
      <w:r w:rsidR="00EA1CFA">
        <w:t xml:space="preserve"> ICB</w:t>
      </w:r>
      <w:r w:rsidR="00106ECD">
        <w:t>s</w:t>
      </w:r>
      <w:r w:rsidR="009C1BD3" w:rsidRPr="009C1BD3">
        <w:t xml:space="preserve"> must </w:t>
      </w:r>
      <w:r w:rsidR="000A02BC">
        <w:t>meet</w:t>
      </w:r>
      <w:r w:rsidR="009C1BD3" w:rsidRPr="009C1BD3">
        <w:t xml:space="preserve"> governance and </w:t>
      </w:r>
      <w:r w:rsidR="000A02BC">
        <w:t xml:space="preserve">core </w:t>
      </w:r>
      <w:r w:rsidR="009C1BD3" w:rsidRPr="009C1BD3">
        <w:t xml:space="preserve">statutory </w:t>
      </w:r>
      <w:r w:rsidR="000A02BC">
        <w:t>functions</w:t>
      </w:r>
      <w:r>
        <w:t xml:space="preserve"> </w:t>
      </w:r>
      <w:r w:rsidR="000A02BC">
        <w:t>to be</w:t>
      </w:r>
      <w:r w:rsidR="0048529E">
        <w:t xml:space="preserve"> compliant, accountable and safe.</w:t>
      </w:r>
    </w:p>
    <w:p w14:paraId="40CB61BD" w14:textId="77777777" w:rsidR="00227A91" w:rsidRPr="009C1BD3" w:rsidRDefault="00227A91" w:rsidP="009C1BD3"/>
    <w:p w14:paraId="532CB516" w14:textId="59085A6D" w:rsidR="009C1BD3" w:rsidRPr="009C1BD3" w:rsidRDefault="009C1BD3" w:rsidP="009C1BD3">
      <w:pPr>
        <w:rPr>
          <w:b/>
          <w:bCs/>
          <w:sz w:val="28"/>
          <w:szCs w:val="28"/>
        </w:rPr>
      </w:pPr>
      <w:r w:rsidRPr="009C1BD3">
        <w:rPr>
          <w:b/>
          <w:bCs/>
          <w:sz w:val="28"/>
          <w:szCs w:val="28"/>
        </w:rPr>
        <w:t>Functional Evolution of ICBs</w:t>
      </w:r>
    </w:p>
    <w:p w14:paraId="752BE481" w14:textId="712E69A5" w:rsidR="009C1BD3" w:rsidRPr="009C1BD3" w:rsidRDefault="00734A1C" w:rsidP="009C1BD3">
      <w:r w:rsidRPr="00734A1C">
        <w:t>ICBs</w:t>
      </w:r>
      <w:r>
        <w:t xml:space="preserve"> are asked to consider </w:t>
      </w:r>
      <w:r w:rsidRPr="00734A1C">
        <w:t xml:space="preserve">the functional changes </w:t>
      </w:r>
      <w:r w:rsidR="00D162C2">
        <w:t>that may be required</w:t>
      </w:r>
      <w:r w:rsidR="00027FF4">
        <w:t xml:space="preserve"> to support the </w:t>
      </w:r>
      <w:r w:rsidR="00227A91">
        <w:t xml:space="preserve">proposed </w:t>
      </w:r>
      <w:r w:rsidR="00027FF4">
        <w:t>new model</w:t>
      </w:r>
      <w:r w:rsidR="002F5A79">
        <w:t xml:space="preserve">.  </w:t>
      </w:r>
      <w:r w:rsidR="00C5632E">
        <w:t>No timeframes are given</w:t>
      </w:r>
      <w:r w:rsidR="00D168E3">
        <w:t xml:space="preserve">.  </w:t>
      </w:r>
      <w:r w:rsidR="002F5A79">
        <w:t>ICBs</w:t>
      </w:r>
      <w:r w:rsidR="00FD3611">
        <w:t xml:space="preserve"> must work</w:t>
      </w:r>
      <w:r w:rsidR="002479D0">
        <w:t xml:space="preserve"> closely with partners nationally and in local systems over the coming months</w:t>
      </w:r>
      <w:r w:rsidR="00D168E3">
        <w:t xml:space="preserve"> to identify next steps</w:t>
      </w:r>
      <w:r w:rsidR="002479D0">
        <w:t>.</w:t>
      </w:r>
    </w:p>
    <w:p w14:paraId="2FEA2F10" w14:textId="3A6169B9" w:rsidR="009C1BD3" w:rsidRPr="00710A13" w:rsidRDefault="009C1BD3" w:rsidP="00710A13">
      <w:pPr>
        <w:rPr>
          <w:b/>
          <w:bCs/>
        </w:rPr>
      </w:pPr>
      <w:r w:rsidRPr="00710A13">
        <w:rPr>
          <w:b/>
          <w:bCs/>
        </w:rPr>
        <w:t>Grow</w:t>
      </w:r>
      <w:r w:rsidR="004C2220">
        <w:rPr>
          <w:b/>
          <w:bCs/>
        </w:rPr>
        <w:t>/ Invest</w:t>
      </w:r>
    </w:p>
    <w:p w14:paraId="461C3894" w14:textId="77777777" w:rsidR="009C1BD3" w:rsidRPr="009C1BD3" w:rsidRDefault="009C1BD3" w:rsidP="009C1BD3">
      <w:r w:rsidRPr="009C1BD3">
        <w:lastRenderedPageBreak/>
        <w:t>Functions to enhance:</w:t>
      </w:r>
    </w:p>
    <w:p w14:paraId="43B34F58" w14:textId="58F1F195" w:rsidR="009C1BD3" w:rsidRDefault="009C1BD3" w:rsidP="009C1BD3">
      <w:pPr>
        <w:numPr>
          <w:ilvl w:val="0"/>
          <w:numId w:val="8"/>
        </w:numPr>
      </w:pPr>
      <w:r w:rsidRPr="009C1BD3">
        <w:t>Population health</w:t>
      </w:r>
      <w:r w:rsidR="00D55164">
        <w:t xml:space="preserve"> management – data </w:t>
      </w:r>
      <w:r w:rsidR="00774045">
        <w:t xml:space="preserve">and </w:t>
      </w:r>
      <w:r w:rsidR="00774045" w:rsidRPr="009C1BD3">
        <w:t>analytics</w:t>
      </w:r>
      <w:r w:rsidR="00D420EE">
        <w:t>, predictive modelling, risk stratification</w:t>
      </w:r>
      <w:r w:rsidR="006315D9">
        <w:t>.</w:t>
      </w:r>
    </w:p>
    <w:p w14:paraId="50F7CB0B" w14:textId="21B84793" w:rsidR="009C1BD3" w:rsidRPr="009C1BD3" w:rsidRDefault="009C1BD3" w:rsidP="00364847">
      <w:pPr>
        <w:numPr>
          <w:ilvl w:val="0"/>
          <w:numId w:val="8"/>
        </w:numPr>
      </w:pPr>
      <w:r w:rsidRPr="009C1BD3">
        <w:t xml:space="preserve">Strategic </w:t>
      </w:r>
      <w:r w:rsidR="0028532D">
        <w:t xml:space="preserve">planning </w:t>
      </w:r>
      <w:r w:rsidR="00BF5951">
        <w:t>(including</w:t>
      </w:r>
      <w:r w:rsidR="0028532D">
        <w:t xml:space="preserve"> pathwa</w:t>
      </w:r>
      <w:r w:rsidR="008A5C79">
        <w:t xml:space="preserve">y </w:t>
      </w:r>
      <w:r w:rsidR="0028532D">
        <w:t>redesign</w:t>
      </w:r>
      <w:r w:rsidR="00F4273E">
        <w:t>),</w:t>
      </w:r>
      <w:r w:rsidR="00F4273E" w:rsidRPr="009C1BD3">
        <w:t xml:space="preserve"> commissioning</w:t>
      </w:r>
      <w:r w:rsidR="003C0416">
        <w:t>, purchasing</w:t>
      </w:r>
      <w:r w:rsidR="003C7F1E">
        <w:t xml:space="preserve"> and partnerships</w:t>
      </w:r>
      <w:r w:rsidR="0028532D">
        <w:t xml:space="preserve"> </w:t>
      </w:r>
      <w:r w:rsidR="00BF5951">
        <w:t>(public</w:t>
      </w:r>
      <w:r w:rsidR="0028532D">
        <w:t xml:space="preserve"> health, VCSE, academia, local partners)</w:t>
      </w:r>
      <w:r w:rsidR="00364847">
        <w:t xml:space="preserve">.  </w:t>
      </w:r>
    </w:p>
    <w:p w14:paraId="4D354A4C" w14:textId="54CDB439" w:rsidR="009C1BD3" w:rsidRPr="009C1BD3" w:rsidRDefault="009C1BD3" w:rsidP="009C1BD3">
      <w:pPr>
        <w:numPr>
          <w:ilvl w:val="0"/>
          <w:numId w:val="8"/>
        </w:numPr>
      </w:pPr>
      <w:r w:rsidRPr="009C1BD3">
        <w:t>Health inequalities expertise</w:t>
      </w:r>
      <w:r w:rsidR="00A017B1">
        <w:t xml:space="preserve"> using data to generate actionable insights</w:t>
      </w:r>
      <w:r w:rsidR="00017764">
        <w:t xml:space="preserve"> and support resource allocation</w:t>
      </w:r>
      <w:r w:rsidR="00A90FCA">
        <w:t xml:space="preserve"> and commissioning decisions</w:t>
      </w:r>
      <w:r w:rsidR="006315D9">
        <w:t>.</w:t>
      </w:r>
    </w:p>
    <w:p w14:paraId="4638799B" w14:textId="20237C26" w:rsidR="008C78D7" w:rsidRDefault="00880474" w:rsidP="00717208">
      <w:pPr>
        <w:numPr>
          <w:ilvl w:val="0"/>
          <w:numId w:val="8"/>
        </w:numPr>
        <w:rPr>
          <w:b/>
          <w:bCs/>
        </w:rPr>
      </w:pPr>
      <w:r>
        <w:t xml:space="preserve">Commissioning </w:t>
      </w:r>
      <w:r w:rsidR="00EF125F">
        <w:t>n</w:t>
      </w:r>
      <w:r>
        <w:t xml:space="preserve">eighbourhood </w:t>
      </w:r>
      <w:r w:rsidR="00EF125F">
        <w:t>h</w:t>
      </w:r>
      <w:r>
        <w:t>ealth</w:t>
      </w:r>
      <w:r w:rsidR="008C78D7">
        <w:t xml:space="preserve"> and end-to-end </w:t>
      </w:r>
      <w:r w:rsidR="006770CC">
        <w:t>pathways</w:t>
      </w:r>
      <w:r w:rsidR="00F4273E">
        <w:t xml:space="preserve"> </w:t>
      </w:r>
      <w:r w:rsidR="006770CC">
        <w:t>(including</w:t>
      </w:r>
      <w:r w:rsidR="005B71DB">
        <w:t xml:space="preserve"> those delegated to ICBs by NHSE such as ophthalmic, dental</w:t>
      </w:r>
      <w:r w:rsidR="00786690">
        <w:t xml:space="preserve">, pharmacy, general practice </w:t>
      </w:r>
      <w:r w:rsidR="00BF5951">
        <w:t>services)</w:t>
      </w:r>
      <w:r w:rsidR="00786690">
        <w:t>.</w:t>
      </w:r>
      <w:r w:rsidR="006770CC">
        <w:t xml:space="preserve">  </w:t>
      </w:r>
      <w:r w:rsidR="006770CC" w:rsidRPr="001B3196">
        <w:t>Vaccinations and screening will be delegated by NHS England to ICBs in April 2026.  All remaining NHS England direct commissioning functions will be reviewed during 2025/26.</w:t>
      </w:r>
    </w:p>
    <w:p w14:paraId="120729DE" w14:textId="7287D967" w:rsidR="001D3BAB" w:rsidRDefault="001D3BAB" w:rsidP="00717208">
      <w:pPr>
        <w:numPr>
          <w:ilvl w:val="0"/>
          <w:numId w:val="8"/>
        </w:numPr>
      </w:pPr>
      <w:r w:rsidRPr="001D3BAB">
        <w:t>Core payer functions</w:t>
      </w:r>
      <w:r w:rsidR="006315D9">
        <w:t>.</w:t>
      </w:r>
    </w:p>
    <w:p w14:paraId="058DBA7D" w14:textId="60AC376E" w:rsidR="001106E9" w:rsidRDefault="001106E9" w:rsidP="00717208">
      <w:pPr>
        <w:numPr>
          <w:ilvl w:val="0"/>
          <w:numId w:val="8"/>
        </w:numPr>
      </w:pPr>
      <w:r>
        <w:t>Evaluation methodologies</w:t>
      </w:r>
      <w:r w:rsidR="006315D9">
        <w:t>.</w:t>
      </w:r>
    </w:p>
    <w:p w14:paraId="33CA690A" w14:textId="77777777" w:rsidR="00CE660F" w:rsidRPr="001D3BAB" w:rsidRDefault="00CE660F" w:rsidP="00CE660F">
      <w:pPr>
        <w:ind w:left="720"/>
      </w:pPr>
    </w:p>
    <w:p w14:paraId="3BC62A2B" w14:textId="0D8DCAE8" w:rsidR="009C1BD3" w:rsidRPr="009C1BD3" w:rsidRDefault="009C1BD3" w:rsidP="008C78D7">
      <w:pPr>
        <w:rPr>
          <w:b/>
          <w:bCs/>
        </w:rPr>
      </w:pPr>
      <w:r w:rsidRPr="009C1BD3">
        <w:rPr>
          <w:b/>
          <w:bCs/>
        </w:rPr>
        <w:t>Retain and Adapt</w:t>
      </w:r>
    </w:p>
    <w:p w14:paraId="3C4C94CE" w14:textId="77777777" w:rsidR="009C1BD3" w:rsidRPr="009C1BD3" w:rsidRDefault="009C1BD3" w:rsidP="009C1BD3">
      <w:r w:rsidRPr="009C1BD3">
        <w:t>Functions to streamline or consolidate:</w:t>
      </w:r>
    </w:p>
    <w:p w14:paraId="090E8050" w14:textId="3EC58A67" w:rsidR="00867BFE" w:rsidRDefault="009C1BD3" w:rsidP="009C1BD3">
      <w:pPr>
        <w:numPr>
          <w:ilvl w:val="0"/>
          <w:numId w:val="9"/>
        </w:numPr>
      </w:pPr>
      <w:r w:rsidRPr="009C1BD3">
        <w:t xml:space="preserve">Quality </w:t>
      </w:r>
      <w:r w:rsidR="00BB02D6">
        <w:t>assurance</w:t>
      </w:r>
      <w:r w:rsidR="00A74619">
        <w:t xml:space="preserve"> – understand drivers of improved health</w:t>
      </w:r>
      <w:r w:rsidR="00C6578F">
        <w:t>, safety, effectiveness, user experience</w:t>
      </w:r>
      <w:r w:rsidR="00BB02D6">
        <w:t>. Build into contracts.</w:t>
      </w:r>
    </w:p>
    <w:p w14:paraId="60F56CDD" w14:textId="47278EDE" w:rsidR="009C1BD3" w:rsidRDefault="00867BFE" w:rsidP="009C1BD3">
      <w:pPr>
        <w:numPr>
          <w:ilvl w:val="0"/>
          <w:numId w:val="9"/>
        </w:numPr>
      </w:pPr>
      <w:r>
        <w:t>C</w:t>
      </w:r>
      <w:r w:rsidR="009C1BD3" w:rsidRPr="009C1BD3">
        <w:t>linical governance</w:t>
      </w:r>
      <w:r w:rsidR="005D6B5A">
        <w:t xml:space="preserve"> (management of population </w:t>
      </w:r>
      <w:r w:rsidR="00073603">
        <w:t xml:space="preserve">clinical </w:t>
      </w:r>
      <w:r w:rsidR="005D6B5A">
        <w:t>risk</w:t>
      </w:r>
      <w:r w:rsidR="00073603">
        <w:t>, best practice care pathways</w:t>
      </w:r>
      <w:r w:rsidR="005D6B5A">
        <w:t>)</w:t>
      </w:r>
      <w:r w:rsidR="00A4442A">
        <w:t>.</w:t>
      </w:r>
    </w:p>
    <w:p w14:paraId="77D0DB12" w14:textId="53A0C4AC" w:rsidR="000647F3" w:rsidRPr="009C1BD3" w:rsidRDefault="00B02636" w:rsidP="00970448">
      <w:pPr>
        <w:numPr>
          <w:ilvl w:val="0"/>
          <w:numId w:val="9"/>
        </w:numPr>
      </w:pPr>
      <w:r>
        <w:t>Board governance</w:t>
      </w:r>
      <w:r w:rsidR="000647F3">
        <w:t xml:space="preserve"> – streamline Boards</w:t>
      </w:r>
      <w:r w:rsidR="00A4442A">
        <w:t>.</w:t>
      </w:r>
    </w:p>
    <w:p w14:paraId="425E45CF" w14:textId="32076547" w:rsidR="009C1BD3" w:rsidRPr="009C1BD3" w:rsidRDefault="009C1BD3" w:rsidP="009C1BD3">
      <w:pPr>
        <w:numPr>
          <w:ilvl w:val="0"/>
          <w:numId w:val="9"/>
        </w:numPr>
      </w:pPr>
      <w:r w:rsidRPr="009C1BD3">
        <w:t xml:space="preserve">Corporate </w:t>
      </w:r>
      <w:r w:rsidR="00970448">
        <w:t xml:space="preserve">governance and </w:t>
      </w:r>
      <w:r w:rsidRPr="009C1BD3">
        <w:t>operations (HR, finance</w:t>
      </w:r>
      <w:r w:rsidR="000D1D7D">
        <w:t>. Audit, PALS</w:t>
      </w:r>
      <w:r w:rsidRPr="009C1BD3">
        <w:t>)</w:t>
      </w:r>
      <w:r w:rsidR="000D1D7D">
        <w:t xml:space="preserve">.  </w:t>
      </w:r>
      <w:r w:rsidR="00BD3DC7">
        <w:t>Deliver some functions at scale</w:t>
      </w:r>
      <w:r w:rsidR="005F4CE8">
        <w:t>.</w:t>
      </w:r>
    </w:p>
    <w:p w14:paraId="35A8E2C7" w14:textId="2B08C374" w:rsidR="009C1BD3" w:rsidRDefault="000942CD" w:rsidP="009C1BD3">
      <w:pPr>
        <w:numPr>
          <w:ilvl w:val="0"/>
          <w:numId w:val="9"/>
        </w:numPr>
      </w:pPr>
      <w:r>
        <w:t>Existing l</w:t>
      </w:r>
      <w:r w:rsidR="009C1BD3" w:rsidRPr="009C1BD3">
        <w:t xml:space="preserve">ocal commissioning </w:t>
      </w:r>
      <w:r w:rsidR="005D7F6C">
        <w:t xml:space="preserve">functions </w:t>
      </w:r>
      <w:r w:rsidR="00E049C5">
        <w:t>including clinical policy and effective</w:t>
      </w:r>
      <w:r w:rsidR="00335956">
        <w:t>ne</w:t>
      </w:r>
      <w:r w:rsidR="00E049C5">
        <w:t>ss</w:t>
      </w:r>
      <w:r w:rsidR="00335956">
        <w:t xml:space="preserve"> and local funding decisions.</w:t>
      </w:r>
    </w:p>
    <w:p w14:paraId="41623D16" w14:textId="77777777" w:rsidR="00CE660F" w:rsidRPr="009C1BD3" w:rsidRDefault="00CE660F" w:rsidP="00CE660F">
      <w:pPr>
        <w:ind w:left="720"/>
      </w:pPr>
    </w:p>
    <w:p w14:paraId="2B10B832" w14:textId="26D09DCF" w:rsidR="009C1BD3" w:rsidRPr="009C1BD3" w:rsidRDefault="009C1BD3" w:rsidP="009C1BD3">
      <w:pPr>
        <w:rPr>
          <w:b/>
          <w:bCs/>
        </w:rPr>
      </w:pPr>
      <w:r w:rsidRPr="009C1BD3">
        <w:rPr>
          <w:b/>
          <w:bCs/>
        </w:rPr>
        <w:t>Review for Transfer</w:t>
      </w:r>
    </w:p>
    <w:p w14:paraId="3B773014" w14:textId="45E56577" w:rsidR="009C1BD3" w:rsidRDefault="009C1BD3" w:rsidP="009C1BD3">
      <w:r w:rsidRPr="009C1BD3">
        <w:t xml:space="preserve">Functions likely to move </w:t>
      </w:r>
      <w:r w:rsidR="001C5735">
        <w:t xml:space="preserve">over time </w:t>
      </w:r>
      <w:r w:rsidR="002C2CB8">
        <w:t xml:space="preserve">from ICBs </w:t>
      </w:r>
      <w:r w:rsidRPr="009C1BD3">
        <w:t>to:</w:t>
      </w:r>
    </w:p>
    <w:p w14:paraId="590C1220" w14:textId="1CEFAC2A" w:rsidR="00C16E01" w:rsidRPr="00C16E01" w:rsidRDefault="00C16E01" w:rsidP="009C1BD3">
      <w:pPr>
        <w:numPr>
          <w:ilvl w:val="0"/>
          <w:numId w:val="10"/>
        </w:numPr>
        <w:rPr>
          <w:b/>
          <w:bCs/>
        </w:rPr>
      </w:pPr>
      <w:r w:rsidRPr="00C16E01">
        <w:rPr>
          <w:b/>
          <w:bCs/>
        </w:rPr>
        <w:t>National:</w:t>
      </w:r>
      <w:r>
        <w:rPr>
          <w:b/>
          <w:bCs/>
        </w:rPr>
        <w:t xml:space="preserve"> </w:t>
      </w:r>
      <w:r w:rsidR="0002631E" w:rsidRPr="0002631E">
        <w:t>Data collection, management and processing</w:t>
      </w:r>
      <w:r w:rsidR="005815C0">
        <w:t>.</w:t>
      </w:r>
    </w:p>
    <w:p w14:paraId="667C47E7" w14:textId="506B0F7A" w:rsidR="009C1BD3" w:rsidRPr="009C1BD3" w:rsidRDefault="009C1BD3" w:rsidP="009C1BD3">
      <w:pPr>
        <w:numPr>
          <w:ilvl w:val="0"/>
          <w:numId w:val="10"/>
        </w:numPr>
      </w:pPr>
      <w:r w:rsidRPr="009C1BD3">
        <w:rPr>
          <w:b/>
          <w:bCs/>
        </w:rPr>
        <w:lastRenderedPageBreak/>
        <w:t>Regions</w:t>
      </w:r>
      <w:r w:rsidRPr="009C1BD3">
        <w:t xml:space="preserve">: </w:t>
      </w:r>
      <w:r w:rsidR="005815C0">
        <w:t>P</w:t>
      </w:r>
      <w:r w:rsidR="009230C4">
        <w:t>erformance management</w:t>
      </w:r>
      <w:r w:rsidR="002C2CB8">
        <w:t xml:space="preserve">, </w:t>
      </w:r>
      <w:r w:rsidR="00F142D6">
        <w:t xml:space="preserve">regulatory oversight, </w:t>
      </w:r>
      <w:r w:rsidR="006C37E6">
        <w:t xml:space="preserve">strategic </w:t>
      </w:r>
      <w:r w:rsidRPr="009C1BD3">
        <w:t>workforce planning, research</w:t>
      </w:r>
      <w:r w:rsidR="00BD54A6">
        <w:t xml:space="preserve"> development and innovation</w:t>
      </w:r>
      <w:r w:rsidR="00BF5951">
        <w:t xml:space="preserve">, </w:t>
      </w:r>
      <w:r w:rsidR="00B55F6A">
        <w:t>emergency preparedness resilience and response (EPRR)</w:t>
      </w:r>
      <w:r w:rsidR="005815C0">
        <w:t>.</w:t>
      </w:r>
    </w:p>
    <w:p w14:paraId="48DF648D" w14:textId="266E45B3" w:rsidR="009C1BD3" w:rsidRDefault="00DC5A6A" w:rsidP="009C1BD3">
      <w:pPr>
        <w:numPr>
          <w:ilvl w:val="0"/>
          <w:numId w:val="10"/>
        </w:numPr>
      </w:pPr>
      <w:r>
        <w:rPr>
          <w:b/>
          <w:bCs/>
        </w:rPr>
        <w:t xml:space="preserve">All </w:t>
      </w:r>
      <w:r w:rsidR="009C1BD3" w:rsidRPr="009C1BD3">
        <w:rPr>
          <w:b/>
          <w:bCs/>
        </w:rPr>
        <w:t>Providers</w:t>
      </w:r>
      <w:r w:rsidR="009C1BD3" w:rsidRPr="009C1BD3">
        <w:t xml:space="preserve">: </w:t>
      </w:r>
      <w:r w:rsidR="00A90EC8">
        <w:t>Local workforce development and training including recruitment and retention</w:t>
      </w:r>
      <w:r w:rsidR="001C5735">
        <w:t xml:space="preserve">, </w:t>
      </w:r>
      <w:r w:rsidR="009C1BD3" w:rsidRPr="009C1BD3">
        <w:t>operational delivery</w:t>
      </w:r>
      <w:r w:rsidR="00BD54A6">
        <w:t>, green plan and sustainability</w:t>
      </w:r>
      <w:r w:rsidR="00004365">
        <w:t>, digital and technology leadership (enabled by a national</w:t>
      </w:r>
      <w:r w:rsidR="00792E66">
        <w:t xml:space="preserve"> data and digital infrastructure)</w:t>
      </w:r>
      <w:r w:rsidR="0065372A">
        <w:t xml:space="preserve">, </w:t>
      </w:r>
      <w:r w:rsidR="00BC351D">
        <w:t xml:space="preserve">estates, </w:t>
      </w:r>
      <w:r w:rsidR="00470138">
        <w:t>medicines optimisation, pathway and service develop</w:t>
      </w:r>
      <w:r w:rsidR="00361A07">
        <w:t>ment programmes.</w:t>
      </w:r>
    </w:p>
    <w:p w14:paraId="74739759" w14:textId="6ADF72FB" w:rsidR="00A83A70" w:rsidRPr="009C1BD3" w:rsidRDefault="006B0D43" w:rsidP="009C1BD3">
      <w:pPr>
        <w:numPr>
          <w:ilvl w:val="0"/>
          <w:numId w:val="10"/>
        </w:numPr>
      </w:pPr>
      <w:r>
        <w:rPr>
          <w:b/>
          <w:bCs/>
        </w:rPr>
        <w:t>Neighbourhood health providers</w:t>
      </w:r>
      <w:r w:rsidRPr="006B0D43">
        <w:t>:</w:t>
      </w:r>
      <w:r>
        <w:t xml:space="preserve"> Development of </w:t>
      </w:r>
      <w:r w:rsidR="00460790">
        <w:t xml:space="preserve">place-based partnerships, </w:t>
      </w:r>
      <w:r w:rsidR="00FC76F5">
        <w:t xml:space="preserve">primary care operations and transformation </w:t>
      </w:r>
      <w:r w:rsidR="00B001CD">
        <w:t>(including</w:t>
      </w:r>
      <w:r w:rsidR="00FC76F5">
        <w:t xml:space="preserve"> primary care, medicines management</w:t>
      </w:r>
      <w:r w:rsidR="00C51E86">
        <w:t>, estates and workforce support)</w:t>
      </w:r>
      <w:r w:rsidR="00126EB5">
        <w:t>.</w:t>
      </w:r>
    </w:p>
    <w:p w14:paraId="3D2143D3" w14:textId="7DEB300E" w:rsidR="009C1BD3" w:rsidRPr="009C1BD3" w:rsidRDefault="0027017F" w:rsidP="009C1BD3">
      <w:pPr>
        <w:numPr>
          <w:ilvl w:val="0"/>
          <w:numId w:val="10"/>
        </w:numPr>
      </w:pPr>
      <w:r>
        <w:t>O</w:t>
      </w:r>
      <w:r w:rsidR="00A90E87">
        <w:t>ptions to move functions will be tested and explored</w:t>
      </w:r>
      <w:r w:rsidR="00BA0545">
        <w:t xml:space="preserve"> </w:t>
      </w:r>
      <w:r w:rsidR="0037376B">
        <w:t>for</w:t>
      </w:r>
      <w:r w:rsidR="00BA0545">
        <w:t xml:space="preserve"> infection prevention and control, </w:t>
      </w:r>
      <w:r w:rsidR="00005030">
        <w:t xml:space="preserve">NHS continuing healthcare, </w:t>
      </w:r>
      <w:r w:rsidR="00B001CD">
        <w:t xml:space="preserve">general practice IT, </w:t>
      </w:r>
      <w:r w:rsidR="00BA0545">
        <w:t xml:space="preserve">safeguarding and SEND.  </w:t>
      </w:r>
      <w:r w:rsidR="00963658">
        <w:t>S</w:t>
      </w:r>
      <w:r w:rsidR="009C1BD3" w:rsidRPr="009C1BD3">
        <w:t>afeguarding</w:t>
      </w:r>
      <w:r w:rsidR="00F24473">
        <w:t xml:space="preserve"> and</w:t>
      </w:r>
      <w:r w:rsidR="009C1BD3" w:rsidRPr="009C1BD3">
        <w:t xml:space="preserve"> SEND</w:t>
      </w:r>
      <w:r w:rsidR="00963658">
        <w:t xml:space="preserve"> </w:t>
      </w:r>
      <w:r>
        <w:t xml:space="preserve">would </w:t>
      </w:r>
      <w:r w:rsidR="00963658">
        <w:t>require legislative changes</w:t>
      </w:r>
      <w:r w:rsidR="00640F5E">
        <w:t>.</w:t>
      </w:r>
    </w:p>
    <w:p w14:paraId="4033BDE2" w14:textId="4DC14059" w:rsidR="009C1BD3" w:rsidRPr="009C1BD3" w:rsidRDefault="009C1BD3" w:rsidP="009C1BD3"/>
    <w:p w14:paraId="2176E471" w14:textId="77777777" w:rsidR="00CE660F" w:rsidRDefault="009C1BD3" w:rsidP="009C1BD3">
      <w:pPr>
        <w:rPr>
          <w:b/>
          <w:bCs/>
        </w:rPr>
      </w:pPr>
      <w:r w:rsidRPr="009C1BD3">
        <w:rPr>
          <w:b/>
          <w:bCs/>
        </w:rPr>
        <w:t>Enablers and Capabilities</w:t>
      </w:r>
    </w:p>
    <w:p w14:paraId="09114880" w14:textId="3FC28633" w:rsidR="009C1BD3" w:rsidRPr="009C1BD3" w:rsidRDefault="00093D9A" w:rsidP="009C1BD3">
      <w:pPr>
        <w:rPr>
          <w:b/>
          <w:bCs/>
        </w:rPr>
      </w:pPr>
      <w:r>
        <w:t xml:space="preserve">To ensure success, </w:t>
      </w:r>
      <w:r w:rsidR="009C1BD3" w:rsidRPr="009C1BD3">
        <w:t>ICBs will require:</w:t>
      </w:r>
    </w:p>
    <w:p w14:paraId="0DBF82E7" w14:textId="77777777" w:rsidR="00576CAF" w:rsidRPr="00576CAF" w:rsidRDefault="007555F4" w:rsidP="009C1BD3">
      <w:pPr>
        <w:numPr>
          <w:ilvl w:val="0"/>
          <w:numId w:val="11"/>
        </w:numPr>
      </w:pPr>
      <w:r>
        <w:rPr>
          <w:b/>
          <w:bCs/>
        </w:rPr>
        <w:t>Healthcare d</w:t>
      </w:r>
      <w:r w:rsidR="009C1BD3" w:rsidRPr="009C1BD3">
        <w:rPr>
          <w:b/>
          <w:bCs/>
        </w:rPr>
        <w:t>ata and analytics infrastructure</w:t>
      </w:r>
    </w:p>
    <w:p w14:paraId="1F82A36C" w14:textId="7E07614E" w:rsidR="00EA6F26" w:rsidRDefault="009C1BD3" w:rsidP="00576CAF">
      <w:pPr>
        <w:ind w:left="720"/>
      </w:pPr>
      <w:r w:rsidRPr="009C1BD3">
        <w:t xml:space="preserve"> </w:t>
      </w:r>
      <w:r w:rsidR="005764E8" w:rsidRPr="005764E8">
        <w:t xml:space="preserve">ICBs will need </w:t>
      </w:r>
      <w:r w:rsidR="007C6285" w:rsidRPr="005764E8">
        <w:t>to:</w:t>
      </w:r>
    </w:p>
    <w:p w14:paraId="60EDDAD4" w14:textId="0DDB22DC" w:rsidR="00EA6F26" w:rsidRDefault="005764E8" w:rsidP="00EA6F26">
      <w:pPr>
        <w:pStyle w:val="ListParagraph"/>
        <w:numPr>
          <w:ilvl w:val="0"/>
          <w:numId w:val="32"/>
        </w:numPr>
      </w:pPr>
      <w:r w:rsidRPr="005764E8">
        <w:t xml:space="preserve">develop strong population health management approaches </w:t>
      </w:r>
      <w:r w:rsidR="00D85F13">
        <w:t xml:space="preserve">and </w:t>
      </w:r>
      <w:r w:rsidRPr="005764E8">
        <w:t xml:space="preserve">robust data capability. </w:t>
      </w:r>
    </w:p>
    <w:p w14:paraId="2C4DA303" w14:textId="62EC7B08" w:rsidR="00576CAF" w:rsidRDefault="005764E8" w:rsidP="00EA6F26">
      <w:pPr>
        <w:pStyle w:val="ListParagraph"/>
        <w:numPr>
          <w:ilvl w:val="0"/>
          <w:numId w:val="32"/>
        </w:numPr>
      </w:pPr>
      <w:r w:rsidRPr="005764E8">
        <w:t xml:space="preserve">segment the population </w:t>
      </w:r>
      <w:r w:rsidR="00C07B60">
        <w:t>to</w:t>
      </w:r>
      <w:r w:rsidRPr="005764E8">
        <w:t xml:space="preserve"> stratify risk and build a person-level, longitudinal, linked dataset integrating local and national data sources alongside public and patient feedback.</w:t>
      </w:r>
    </w:p>
    <w:p w14:paraId="607F7173" w14:textId="77777777" w:rsidR="007C6285" w:rsidRDefault="005764E8" w:rsidP="00EA6F26">
      <w:pPr>
        <w:pStyle w:val="ListParagraph"/>
        <w:numPr>
          <w:ilvl w:val="0"/>
          <w:numId w:val="32"/>
        </w:numPr>
      </w:pPr>
      <w:r w:rsidRPr="005764E8">
        <w:t xml:space="preserve"> </w:t>
      </w:r>
      <w:r w:rsidR="00B61A09" w:rsidRPr="00B61A09">
        <w:t>deploy predictive modelling to foresee future demand, cost and impact of interventions</w:t>
      </w:r>
      <w:r w:rsidR="00041EF9">
        <w:t>.</w:t>
      </w:r>
    </w:p>
    <w:p w14:paraId="6F27F023" w14:textId="29992BBC" w:rsidR="00767F5F" w:rsidRDefault="00433C0B" w:rsidP="00EA6F26">
      <w:pPr>
        <w:pStyle w:val="ListParagraph"/>
        <w:numPr>
          <w:ilvl w:val="0"/>
          <w:numId w:val="32"/>
        </w:numPr>
      </w:pPr>
      <w:r w:rsidRPr="00433C0B">
        <w:t>cultivate teams with the ability to analyse and interpret complex data</w:t>
      </w:r>
      <w:r>
        <w:t xml:space="preserve"> </w:t>
      </w:r>
      <w:r w:rsidR="00B61A09" w:rsidRPr="00B61A09">
        <w:t xml:space="preserve"> </w:t>
      </w:r>
    </w:p>
    <w:p w14:paraId="2677C3B4" w14:textId="1E7B4B34" w:rsidR="00D520F1" w:rsidRDefault="002B46CF" w:rsidP="00D520F1">
      <w:pPr>
        <w:pStyle w:val="ListParagraph"/>
        <w:numPr>
          <w:ilvl w:val="0"/>
          <w:numId w:val="32"/>
        </w:numPr>
      </w:pPr>
      <w:r>
        <w:t>u</w:t>
      </w:r>
      <w:r w:rsidR="00767F5F">
        <w:t xml:space="preserve">se the </w:t>
      </w:r>
      <w:r w:rsidR="009C1BD3" w:rsidRPr="009C1BD3">
        <w:t>NHS Federated Data Platform</w:t>
      </w:r>
      <w:r w:rsidR="00767F5F">
        <w:t xml:space="preserve"> (FDP)</w:t>
      </w:r>
      <w:r w:rsidR="00BE24CD">
        <w:t xml:space="preserve"> as the default tool</w:t>
      </w:r>
      <w:r w:rsidR="00AF370E">
        <w:t xml:space="preserve">.  </w:t>
      </w:r>
      <w:r w:rsidR="00907D1F">
        <w:t>Use integrated</w:t>
      </w:r>
      <w:r w:rsidR="00767F5F" w:rsidRPr="00767F5F">
        <w:t xml:space="preserve"> </w:t>
      </w:r>
      <w:r w:rsidR="00E92B56">
        <w:t>data</w:t>
      </w:r>
      <w:r w:rsidR="00767F5F" w:rsidRPr="00767F5F">
        <w:t xml:space="preserve"> between services to provide real-time, accurate data enabling better decision-making and interoperability</w:t>
      </w:r>
      <w:r w:rsidR="00D520F1">
        <w:t>.</w:t>
      </w:r>
    </w:p>
    <w:p w14:paraId="22292870" w14:textId="77777777" w:rsidR="00BD096B" w:rsidRDefault="00BD096B" w:rsidP="00BD096B">
      <w:pPr>
        <w:pStyle w:val="ListParagraph"/>
        <w:ind w:left="1440"/>
      </w:pPr>
    </w:p>
    <w:p w14:paraId="4C36B2DA" w14:textId="6B41D752" w:rsidR="009C1BD3" w:rsidRPr="009C1BD3" w:rsidRDefault="009C1BD3" w:rsidP="00182624">
      <w:pPr>
        <w:pStyle w:val="ListParagraph"/>
        <w:numPr>
          <w:ilvl w:val="0"/>
          <w:numId w:val="11"/>
        </w:numPr>
      </w:pPr>
      <w:r w:rsidRPr="009C1BD3">
        <w:rPr>
          <w:b/>
          <w:bCs/>
        </w:rPr>
        <w:t>Strateg</w:t>
      </w:r>
      <w:r w:rsidR="000113C6">
        <w:rPr>
          <w:b/>
          <w:bCs/>
        </w:rPr>
        <w:t>y</w:t>
      </w:r>
      <w:r w:rsidRPr="009C1BD3">
        <w:rPr>
          <w:b/>
          <w:bCs/>
        </w:rPr>
        <w:t xml:space="preserve"> </w:t>
      </w:r>
      <w:r w:rsidR="009F5CBE">
        <w:rPr>
          <w:b/>
          <w:bCs/>
        </w:rPr>
        <w:t>capability</w:t>
      </w:r>
      <w:r w:rsidRPr="009C1BD3">
        <w:t xml:space="preserve"> in </w:t>
      </w:r>
      <w:r w:rsidR="000113C6" w:rsidRPr="009C1BD3">
        <w:t>value-based</w:t>
      </w:r>
      <w:r w:rsidR="00D0163B">
        <w:t xml:space="preserve"> healthcare </w:t>
      </w:r>
      <w:r w:rsidRPr="009C1BD3">
        <w:t>and partnership working</w:t>
      </w:r>
      <w:r w:rsidR="00BD096B">
        <w:t>.  S</w:t>
      </w:r>
      <w:r w:rsidR="00BD096B" w:rsidRPr="00BD096B">
        <w:t>trategic leaders who can diplomatically and collaboratively work with a range of partners</w:t>
      </w:r>
      <w:r w:rsidR="00C66C83">
        <w:t>.</w:t>
      </w:r>
      <w:r w:rsidR="000113C6">
        <w:t xml:space="preserve"> </w:t>
      </w:r>
      <w:r w:rsidR="00C66C83">
        <w:t>I</w:t>
      </w:r>
      <w:r w:rsidR="000113C6">
        <w:t xml:space="preserve">ndividuals with </w:t>
      </w:r>
      <w:r w:rsidR="00C66C83">
        <w:t>problem solving and analytical skills.</w:t>
      </w:r>
    </w:p>
    <w:p w14:paraId="697829A3" w14:textId="7DF0A5BB" w:rsidR="009C1BD3" w:rsidRPr="009C1BD3" w:rsidRDefault="009C1BD3" w:rsidP="009C1BD3">
      <w:pPr>
        <w:numPr>
          <w:ilvl w:val="0"/>
          <w:numId w:val="11"/>
        </w:numPr>
      </w:pPr>
      <w:r w:rsidRPr="009C1BD3">
        <w:rPr>
          <w:b/>
          <w:bCs/>
        </w:rPr>
        <w:t>Advanced payer capabilities</w:t>
      </w:r>
      <w:r w:rsidRPr="009C1BD3">
        <w:t xml:space="preserve"> including procurement and cost modelling</w:t>
      </w:r>
      <w:r w:rsidR="006239FA">
        <w:t xml:space="preserve"> </w:t>
      </w:r>
      <w:r w:rsidR="006239FA" w:rsidRPr="006239FA">
        <w:t xml:space="preserve">and </w:t>
      </w:r>
      <w:r w:rsidR="006239FA">
        <w:t xml:space="preserve">use of </w:t>
      </w:r>
      <w:r w:rsidR="006239FA" w:rsidRPr="006239FA">
        <w:t>contracting levers to incentivise quality improvement and innovation</w:t>
      </w:r>
    </w:p>
    <w:p w14:paraId="41E24741" w14:textId="6FBF8AEB" w:rsidR="009C1BD3" w:rsidRPr="009C1BD3" w:rsidRDefault="009C1BD3" w:rsidP="009C1BD3">
      <w:pPr>
        <w:numPr>
          <w:ilvl w:val="0"/>
          <w:numId w:val="11"/>
        </w:numPr>
      </w:pPr>
      <w:r w:rsidRPr="009C1BD3">
        <w:rPr>
          <w:b/>
          <w:bCs/>
        </w:rPr>
        <w:lastRenderedPageBreak/>
        <w:t xml:space="preserve">User involvement </w:t>
      </w:r>
      <w:r w:rsidR="00CD3167">
        <w:rPr>
          <w:b/>
          <w:bCs/>
        </w:rPr>
        <w:t xml:space="preserve">and co-design.  </w:t>
      </w:r>
      <w:r w:rsidR="004B7293" w:rsidRPr="004B7293">
        <w:rPr>
          <w:b/>
          <w:bCs/>
        </w:rPr>
        <w:t xml:space="preserve"> </w:t>
      </w:r>
      <w:r w:rsidR="004B7293" w:rsidRPr="004B7293">
        <w:t xml:space="preserve">ICB should meaningfully involving patients, service users, carers, and community groups in designing solutions. </w:t>
      </w:r>
      <w:r w:rsidRPr="009C1BD3">
        <w:t xml:space="preserve"> </w:t>
      </w:r>
      <w:r w:rsidR="0052313B" w:rsidRPr="0052313B">
        <w:t>This goes beyond formal consultation and means working with people as partners.</w:t>
      </w:r>
    </w:p>
    <w:p w14:paraId="20D457D1" w14:textId="5D70AA10" w:rsidR="009C1BD3" w:rsidRPr="009C1BD3" w:rsidRDefault="009C1BD3" w:rsidP="009C1BD3">
      <w:pPr>
        <w:numPr>
          <w:ilvl w:val="0"/>
          <w:numId w:val="11"/>
        </w:numPr>
      </w:pPr>
      <w:r w:rsidRPr="009C1BD3">
        <w:rPr>
          <w:b/>
          <w:bCs/>
        </w:rPr>
        <w:t>Clinical leadership</w:t>
      </w:r>
      <w:r w:rsidRPr="009C1BD3">
        <w:t xml:space="preserve"> </w:t>
      </w:r>
      <w:r w:rsidR="00F92A76" w:rsidRPr="00F92A76">
        <w:rPr>
          <w:b/>
          <w:bCs/>
        </w:rPr>
        <w:t>and governance</w:t>
      </w:r>
      <w:r w:rsidR="00F92A76">
        <w:t xml:space="preserve"> </w:t>
      </w:r>
      <w:r w:rsidRPr="009C1BD3">
        <w:t>embedded in decision-making</w:t>
      </w:r>
      <w:r w:rsidR="004F6440">
        <w:t xml:space="preserve"> </w:t>
      </w:r>
      <w:r w:rsidR="004F6440" w:rsidRPr="004F6440">
        <w:t>particularly regarding the prioritisation of resources</w:t>
      </w:r>
      <w:r w:rsidR="00907D1F">
        <w:t>.</w:t>
      </w:r>
    </w:p>
    <w:p w14:paraId="6EDD96D6" w14:textId="5F63775E" w:rsidR="005225F1" w:rsidRPr="005225F1" w:rsidRDefault="00A40745" w:rsidP="00A40745">
      <w:pPr>
        <w:numPr>
          <w:ilvl w:val="0"/>
          <w:numId w:val="11"/>
        </w:numPr>
      </w:pPr>
      <w:r w:rsidRPr="00A40745">
        <w:rPr>
          <w:b/>
          <w:bCs/>
        </w:rPr>
        <w:t>System leadership for population health.</w:t>
      </w:r>
      <w:r>
        <w:t xml:space="preserve">  </w:t>
      </w:r>
      <w:r w:rsidR="005225F1" w:rsidRPr="005225F1">
        <w:t xml:space="preserve">ICB leaders and staff </w:t>
      </w:r>
      <w:r w:rsidR="001F2169">
        <w:t>who are</w:t>
      </w:r>
      <w:r w:rsidR="005225F1" w:rsidRPr="005225F1">
        <w:t xml:space="preserve"> adept at system thinking, analytics, and collaboration</w:t>
      </w:r>
      <w:r w:rsidR="001F2169">
        <w:t xml:space="preserve"> who </w:t>
      </w:r>
      <w:r w:rsidR="005225F1" w:rsidRPr="005225F1">
        <w:t xml:space="preserve">work diplomatically and </w:t>
      </w:r>
      <w:r w:rsidR="001F2169">
        <w:t xml:space="preserve">are </w:t>
      </w:r>
      <w:r w:rsidR="005225F1" w:rsidRPr="005225F1">
        <w:t>comfortable driving change and influencing without direct authority</w:t>
      </w:r>
      <w:r w:rsidR="001F2169">
        <w:t>.</w:t>
      </w:r>
    </w:p>
    <w:p w14:paraId="0D39A02E" w14:textId="5DAC1C2D" w:rsidR="009C1BD3" w:rsidRPr="009C1BD3" w:rsidRDefault="001E420A" w:rsidP="009C1BD3">
      <w:pPr>
        <w:numPr>
          <w:ilvl w:val="0"/>
          <w:numId w:val="11"/>
        </w:numPr>
      </w:pPr>
      <w:r>
        <w:rPr>
          <w:b/>
          <w:bCs/>
        </w:rPr>
        <w:t xml:space="preserve"> </w:t>
      </w:r>
      <w:r w:rsidR="009C1BD3" w:rsidRPr="009C1BD3">
        <w:rPr>
          <w:b/>
          <w:bCs/>
        </w:rPr>
        <w:t>Strong local partnerships</w:t>
      </w:r>
      <w:r w:rsidR="009C1BD3" w:rsidRPr="009C1BD3">
        <w:t>, especially with local government</w:t>
      </w:r>
      <w:r w:rsidR="006D5ABF">
        <w:t>.</w:t>
      </w:r>
    </w:p>
    <w:p w14:paraId="76C2C17A" w14:textId="459933EE" w:rsidR="009C1BD3" w:rsidRDefault="009C1BD3" w:rsidP="009C1BD3">
      <w:pPr>
        <w:numPr>
          <w:ilvl w:val="0"/>
          <w:numId w:val="11"/>
        </w:numPr>
      </w:pPr>
      <w:r w:rsidRPr="009C1BD3">
        <w:t xml:space="preserve">A </w:t>
      </w:r>
      <w:r w:rsidRPr="009C1BD3">
        <w:rPr>
          <w:b/>
          <w:bCs/>
        </w:rPr>
        <w:t xml:space="preserve">national </w:t>
      </w:r>
      <w:r w:rsidR="00E308CE">
        <w:rPr>
          <w:b/>
          <w:bCs/>
        </w:rPr>
        <w:t xml:space="preserve">support offer </w:t>
      </w:r>
      <w:r w:rsidR="00724869">
        <w:rPr>
          <w:b/>
          <w:bCs/>
        </w:rPr>
        <w:t>and maturity assessment</w:t>
      </w:r>
      <w:r w:rsidRPr="009C1BD3">
        <w:t xml:space="preserve"> to support </w:t>
      </w:r>
      <w:r w:rsidR="007A17A0">
        <w:t xml:space="preserve">ICB </w:t>
      </w:r>
      <w:r w:rsidR="00E308CE">
        <w:t xml:space="preserve">competency and </w:t>
      </w:r>
      <w:r w:rsidRPr="009C1BD3">
        <w:t>capability building</w:t>
      </w:r>
      <w:r w:rsidR="00724869">
        <w:t xml:space="preserve">, including </w:t>
      </w:r>
      <w:r w:rsidR="0095596B">
        <w:t xml:space="preserve">development of </w:t>
      </w:r>
      <w:r w:rsidR="00724869">
        <w:t>a new commissioning framework.</w:t>
      </w:r>
    </w:p>
    <w:p w14:paraId="33D69FF4" w14:textId="77777777" w:rsidR="00F45443" w:rsidRPr="009C1BD3" w:rsidRDefault="00F45443" w:rsidP="006D5ABF">
      <w:pPr>
        <w:ind w:left="720"/>
      </w:pPr>
    </w:p>
    <w:p w14:paraId="1C9DE528" w14:textId="767370E1" w:rsidR="009C1BD3" w:rsidRPr="009C1BD3" w:rsidRDefault="0095596B" w:rsidP="009C1BD3">
      <w:pPr>
        <w:rPr>
          <w:b/>
          <w:bCs/>
          <w:sz w:val="28"/>
          <w:szCs w:val="28"/>
        </w:rPr>
      </w:pPr>
      <w:r w:rsidRPr="00235366">
        <w:rPr>
          <w:b/>
          <w:bCs/>
          <w:sz w:val="28"/>
          <w:szCs w:val="28"/>
        </w:rPr>
        <w:t xml:space="preserve">Managing the </w:t>
      </w:r>
      <w:r w:rsidR="009C1BD3" w:rsidRPr="009C1BD3">
        <w:rPr>
          <w:b/>
          <w:bCs/>
          <w:sz w:val="28"/>
          <w:szCs w:val="28"/>
        </w:rPr>
        <w:t xml:space="preserve">Transition </w:t>
      </w:r>
    </w:p>
    <w:p w14:paraId="3B303E1E" w14:textId="77777777" w:rsidR="00773B1B" w:rsidRDefault="009C1BD3" w:rsidP="00773B1B">
      <w:pPr>
        <w:rPr>
          <w:b/>
          <w:bCs/>
        </w:rPr>
      </w:pPr>
      <w:r w:rsidRPr="009C1BD3">
        <w:rPr>
          <w:b/>
          <w:bCs/>
        </w:rPr>
        <w:t>Cost Reduction</w:t>
      </w:r>
    </w:p>
    <w:p w14:paraId="1DDD236D" w14:textId="0902602C" w:rsidR="009C1BD3" w:rsidRPr="00F45443" w:rsidRDefault="009C1BD3" w:rsidP="00773B1B">
      <w:pPr>
        <w:pStyle w:val="ListParagraph"/>
        <w:numPr>
          <w:ilvl w:val="0"/>
          <w:numId w:val="36"/>
        </w:numPr>
        <w:rPr>
          <w:b/>
          <w:bCs/>
        </w:rPr>
      </w:pPr>
      <w:r w:rsidRPr="00F45443">
        <w:rPr>
          <w:b/>
          <w:bCs/>
        </w:rPr>
        <w:t>ICBs must operate within a new budget envelope of £18.76 pe</w:t>
      </w:r>
      <w:r w:rsidR="00A5531D" w:rsidRPr="00F45443">
        <w:rPr>
          <w:b/>
          <w:bCs/>
        </w:rPr>
        <w:t>r head</w:t>
      </w:r>
      <w:r w:rsidRPr="00F45443">
        <w:rPr>
          <w:b/>
          <w:bCs/>
        </w:rPr>
        <w:t xml:space="preserve"> by Q3 2025/26.</w:t>
      </w:r>
      <w:r w:rsidR="00B05AF6" w:rsidRPr="00F45443">
        <w:rPr>
          <w:b/>
          <w:bCs/>
        </w:rPr>
        <w:t xml:space="preserve"> </w:t>
      </w:r>
      <w:r w:rsidR="00CA0272" w:rsidRPr="00F45443">
        <w:rPr>
          <w:b/>
          <w:bCs/>
        </w:rPr>
        <w:t xml:space="preserve"> ICB</w:t>
      </w:r>
      <w:r w:rsidR="00B05AF6" w:rsidRPr="00F45443">
        <w:rPr>
          <w:b/>
          <w:bCs/>
        </w:rPr>
        <w:t xml:space="preserve"> </w:t>
      </w:r>
      <w:r w:rsidR="00CA0272" w:rsidRPr="00F45443">
        <w:rPr>
          <w:b/>
          <w:bCs/>
        </w:rPr>
        <w:t>p</w:t>
      </w:r>
      <w:r w:rsidR="00B05AF6" w:rsidRPr="00F45443">
        <w:rPr>
          <w:b/>
          <w:bCs/>
        </w:rPr>
        <w:t xml:space="preserve">lans </w:t>
      </w:r>
      <w:r w:rsidR="004B2BE9" w:rsidRPr="00F45443">
        <w:rPr>
          <w:b/>
          <w:bCs/>
        </w:rPr>
        <w:t xml:space="preserve">setting out how this will be achieved </w:t>
      </w:r>
      <w:r w:rsidR="00CA0272" w:rsidRPr="00F45443">
        <w:rPr>
          <w:b/>
          <w:bCs/>
        </w:rPr>
        <w:t>to</w:t>
      </w:r>
      <w:r w:rsidR="00B05AF6" w:rsidRPr="00F45443">
        <w:rPr>
          <w:b/>
          <w:bCs/>
        </w:rPr>
        <w:t xml:space="preserve"> be submitted to region</w:t>
      </w:r>
      <w:r w:rsidR="00CA0272" w:rsidRPr="00F45443">
        <w:rPr>
          <w:b/>
          <w:bCs/>
        </w:rPr>
        <w:t xml:space="preserve"> </w:t>
      </w:r>
      <w:r w:rsidR="00B05AF6" w:rsidRPr="00F45443">
        <w:rPr>
          <w:b/>
          <w:bCs/>
        </w:rPr>
        <w:t>by 30 May 2025.</w:t>
      </w:r>
    </w:p>
    <w:p w14:paraId="65FC4095" w14:textId="177E52D6" w:rsidR="001F1432" w:rsidRPr="001F1432" w:rsidRDefault="003954F8" w:rsidP="001F1432">
      <w:pPr>
        <w:numPr>
          <w:ilvl w:val="0"/>
          <w:numId w:val="12"/>
        </w:numPr>
      </w:pPr>
      <w:r>
        <w:t>Identify efficiency opportunities</w:t>
      </w:r>
      <w:r w:rsidR="009C1BD3" w:rsidRPr="009C1BD3">
        <w:t xml:space="preserve">: </w:t>
      </w:r>
      <w:r w:rsidR="00E41E47">
        <w:t xml:space="preserve">At scale </w:t>
      </w:r>
      <w:r w:rsidR="0083676B">
        <w:t>working with</w:t>
      </w:r>
      <w:r w:rsidR="00A37CF7">
        <w:t xml:space="preserve"> </w:t>
      </w:r>
      <w:r w:rsidR="00520D48">
        <w:t>greater collaboration</w:t>
      </w:r>
      <w:r w:rsidR="00E41E47">
        <w:t>,</w:t>
      </w:r>
      <w:r w:rsidR="009C1BD3" w:rsidRPr="009C1BD3">
        <w:t xml:space="preserve"> clustering, </w:t>
      </w:r>
      <w:r w:rsidR="00E41E47" w:rsidRPr="00E41E47">
        <w:t xml:space="preserve">and potential </w:t>
      </w:r>
      <w:r w:rsidR="00A37CF7">
        <w:t xml:space="preserve">ICB </w:t>
      </w:r>
      <w:r w:rsidR="00E41E47" w:rsidRPr="00E41E47">
        <w:t>mergers</w:t>
      </w:r>
      <w:r w:rsidR="00162EB5">
        <w:t xml:space="preserve"> </w:t>
      </w:r>
      <w:r w:rsidR="00F45443">
        <w:t>(coordinated</w:t>
      </w:r>
      <w:r w:rsidR="00162EB5">
        <w:t xml:space="preserve"> by regional teams)</w:t>
      </w:r>
      <w:r w:rsidR="00E41E47">
        <w:t>,</w:t>
      </w:r>
      <w:r w:rsidR="00A37CF7">
        <w:t xml:space="preserve"> </w:t>
      </w:r>
      <w:r w:rsidR="009C1BD3" w:rsidRPr="009C1BD3">
        <w:t xml:space="preserve">benchmarking, AI </w:t>
      </w:r>
      <w:r w:rsidR="00725EA9">
        <w:t xml:space="preserve">and technology </w:t>
      </w:r>
      <w:r w:rsidR="009C1BD3" w:rsidRPr="009C1BD3">
        <w:t>use</w:t>
      </w:r>
      <w:r w:rsidR="001F1432">
        <w:t>.</w:t>
      </w:r>
    </w:p>
    <w:p w14:paraId="45F681E8" w14:textId="4D510F85" w:rsidR="001F1432" w:rsidRPr="009C1BD3" w:rsidRDefault="001F1432" w:rsidP="0083676B">
      <w:pPr>
        <w:numPr>
          <w:ilvl w:val="0"/>
          <w:numId w:val="12"/>
        </w:numPr>
        <w:tabs>
          <w:tab w:val="clear" w:pos="720"/>
        </w:tabs>
      </w:pPr>
      <w:r w:rsidRPr="00BB65B7">
        <w:rPr>
          <w:b/>
          <w:bCs/>
        </w:rPr>
        <w:t>G</w:t>
      </w:r>
      <w:r w:rsidRPr="001F1432">
        <w:rPr>
          <w:b/>
          <w:bCs/>
        </w:rPr>
        <w:t>enerating savings cannot be a cost shift to a provider unless overall there is the saving</w:t>
      </w:r>
      <w:r w:rsidRPr="00BB65B7">
        <w:rPr>
          <w:b/>
          <w:bCs/>
        </w:rPr>
        <w:t>.</w:t>
      </w:r>
      <w:r w:rsidR="006A3C09">
        <w:t xml:space="preserve">  E</w:t>
      </w:r>
      <w:r w:rsidR="004726E6">
        <w:t>.g. A</w:t>
      </w:r>
      <w:r w:rsidR="006A3C09" w:rsidRPr="006A3C09">
        <w:t xml:space="preserve"> provider takes on an ICB operated service and therefore requires circa 50% less cost in line with the £18.76 running cost envelop</w:t>
      </w:r>
      <w:r w:rsidR="004726E6">
        <w:t>.</w:t>
      </w:r>
    </w:p>
    <w:p w14:paraId="16BFA6B2" w14:textId="5256113A" w:rsidR="009C1BD3" w:rsidRPr="009C1BD3" w:rsidRDefault="009C1BD3" w:rsidP="009C1BD3">
      <w:pPr>
        <w:rPr>
          <w:b/>
          <w:bCs/>
        </w:rPr>
      </w:pPr>
      <w:r w:rsidRPr="009C1BD3">
        <w:rPr>
          <w:b/>
          <w:bCs/>
        </w:rPr>
        <w:t>Impact</w:t>
      </w:r>
      <w:r w:rsidR="00AD4C35">
        <w:rPr>
          <w:b/>
          <w:bCs/>
        </w:rPr>
        <w:t xml:space="preserve"> on Staff</w:t>
      </w:r>
    </w:p>
    <w:p w14:paraId="516ACB83" w14:textId="08BCB53B" w:rsidR="009C1BD3" w:rsidRPr="009C1BD3" w:rsidRDefault="0093210F" w:rsidP="009C1BD3">
      <w:pPr>
        <w:numPr>
          <w:ilvl w:val="0"/>
          <w:numId w:val="13"/>
        </w:numPr>
      </w:pPr>
      <w:r>
        <w:t xml:space="preserve">A </w:t>
      </w:r>
      <w:r w:rsidR="0083676B">
        <w:t>“National</w:t>
      </w:r>
      <w:r>
        <w:t xml:space="preserve"> </w:t>
      </w:r>
      <w:r w:rsidR="003D3473">
        <w:t xml:space="preserve">support offer </w:t>
      </w:r>
      <w:r w:rsidR="00BB65B7">
        <w:t>“to</w:t>
      </w:r>
      <w:r w:rsidR="003D3473">
        <w:t xml:space="preserve"> ensure fair treatment of staff affected by the transition</w:t>
      </w:r>
      <w:r w:rsidR="001E35DF">
        <w:t xml:space="preserve"> -</w:t>
      </w:r>
      <w:r w:rsidR="009C1BD3" w:rsidRPr="009C1BD3">
        <w:t xml:space="preserve"> redundancy schemes, redeployment, and clear communication.</w:t>
      </w:r>
    </w:p>
    <w:p w14:paraId="090E3A0F" w14:textId="77777777" w:rsidR="009C1BD3" w:rsidRPr="009C1BD3" w:rsidRDefault="009C1BD3" w:rsidP="009C1BD3">
      <w:pPr>
        <w:numPr>
          <w:ilvl w:val="0"/>
          <w:numId w:val="13"/>
        </w:numPr>
      </w:pPr>
      <w:r w:rsidRPr="009C1BD3">
        <w:t>Partnership with trade unions to manage workforce change.</w:t>
      </w:r>
    </w:p>
    <w:p w14:paraId="01D60049" w14:textId="680538E4" w:rsidR="009C1BD3" w:rsidRPr="009C1BD3" w:rsidRDefault="009C1BD3" w:rsidP="009C1BD3">
      <w:pPr>
        <w:rPr>
          <w:b/>
          <w:bCs/>
        </w:rPr>
      </w:pPr>
      <w:r w:rsidRPr="009C1BD3">
        <w:rPr>
          <w:b/>
          <w:bCs/>
        </w:rPr>
        <w:t>Leadership and Governance</w:t>
      </w:r>
    </w:p>
    <w:p w14:paraId="09D591CB" w14:textId="152AF80C" w:rsidR="009C1BD3" w:rsidRPr="009C1BD3" w:rsidRDefault="009C1BD3" w:rsidP="009C1BD3">
      <w:pPr>
        <w:numPr>
          <w:ilvl w:val="0"/>
          <w:numId w:val="14"/>
        </w:numPr>
      </w:pPr>
      <w:r w:rsidRPr="009C1BD3">
        <w:t xml:space="preserve">Streamlined boards, with emphasis on strategic, financial, </w:t>
      </w:r>
      <w:r w:rsidR="005840C4">
        <w:t xml:space="preserve">contracting </w:t>
      </w:r>
      <w:r w:rsidRPr="009C1BD3">
        <w:t>and clinical leadership</w:t>
      </w:r>
      <w:r w:rsidR="00162E2B">
        <w:t xml:space="preserve"> and skills in population health data </w:t>
      </w:r>
      <w:r w:rsidR="001A318D">
        <w:t>and insights</w:t>
      </w:r>
      <w:r w:rsidRPr="009C1BD3">
        <w:t>.</w:t>
      </w:r>
    </w:p>
    <w:p w14:paraId="6146BEBC" w14:textId="2EE6093E" w:rsidR="009C1BD3" w:rsidRPr="009C1BD3" w:rsidRDefault="009C1BD3" w:rsidP="009C1BD3">
      <w:pPr>
        <w:numPr>
          <w:ilvl w:val="0"/>
          <w:numId w:val="14"/>
        </w:numPr>
      </w:pPr>
      <w:r w:rsidRPr="009C1BD3">
        <w:lastRenderedPageBreak/>
        <w:t xml:space="preserve">Creation of </w:t>
      </w:r>
      <w:r w:rsidRPr="0086313D">
        <w:t>Transition Committees</w:t>
      </w:r>
      <w:r w:rsidRPr="009C1BD3">
        <w:t xml:space="preserve"> </w:t>
      </w:r>
      <w:r w:rsidR="00EE59AF">
        <w:t>with</w:t>
      </w:r>
      <w:r w:rsidRPr="009C1BD3">
        <w:t xml:space="preserve"> </w:t>
      </w:r>
      <w:r w:rsidR="00EE59AF" w:rsidRPr="00EE59AF">
        <w:t>responsibility for managing local risks, tracking progress, and overseeing the development of organisational design and implementation</w:t>
      </w:r>
      <w:r w:rsidR="00EE59AF">
        <w:t>.</w:t>
      </w:r>
    </w:p>
    <w:p w14:paraId="721026A6" w14:textId="2DC7BFFA" w:rsidR="009C1BD3" w:rsidRPr="009C1BD3" w:rsidRDefault="009C1BD3" w:rsidP="009C1BD3">
      <w:pPr>
        <w:rPr>
          <w:b/>
          <w:bCs/>
        </w:rPr>
      </w:pPr>
      <w:r w:rsidRPr="009C1BD3">
        <w:rPr>
          <w:b/>
          <w:bCs/>
        </w:rPr>
        <w:t>Function Transfers</w:t>
      </w:r>
    </w:p>
    <w:p w14:paraId="70A7A297" w14:textId="77777777" w:rsidR="009C1BD3" w:rsidRPr="009C1BD3" w:rsidRDefault="009C1BD3" w:rsidP="009C1BD3">
      <w:pPr>
        <w:numPr>
          <w:ilvl w:val="0"/>
          <w:numId w:val="15"/>
        </w:numPr>
      </w:pPr>
      <w:r w:rsidRPr="009C1BD3">
        <w:t>Require readiness assessments and governance frameworks.</w:t>
      </w:r>
    </w:p>
    <w:p w14:paraId="6A157775" w14:textId="4C50208C" w:rsidR="009C1BD3" w:rsidRDefault="009C1BD3" w:rsidP="009C1BD3">
      <w:pPr>
        <w:numPr>
          <w:ilvl w:val="0"/>
          <w:numId w:val="15"/>
        </w:numPr>
      </w:pPr>
      <w:r w:rsidRPr="009C1BD3">
        <w:t>NHS England will lead coordination</w:t>
      </w:r>
      <w:r w:rsidR="002F5661">
        <w:t xml:space="preserve"> </w:t>
      </w:r>
      <w:r w:rsidR="003C2F18">
        <w:t>(and</w:t>
      </w:r>
      <w:r w:rsidR="00C3196A">
        <w:t xml:space="preserve"> </w:t>
      </w:r>
      <w:r w:rsidR="002F5661">
        <w:t>check and challenge ICB plans</w:t>
      </w:r>
      <w:r w:rsidR="00C3196A">
        <w:t>)</w:t>
      </w:r>
      <w:r w:rsidRPr="009C1BD3">
        <w:t>, supported by FAQs and planning templates.</w:t>
      </w:r>
    </w:p>
    <w:p w14:paraId="1465BE90" w14:textId="7F982CE0" w:rsidR="00277307" w:rsidRPr="009C1BD3" w:rsidRDefault="00277307" w:rsidP="009C1BD3">
      <w:pPr>
        <w:numPr>
          <w:ilvl w:val="0"/>
          <w:numId w:val="15"/>
        </w:numPr>
      </w:pPr>
      <w:r w:rsidRPr="00277307">
        <w:t>NHS England is developing the operating model for the Model Region.</w:t>
      </w:r>
      <w:r w:rsidR="0052717F">
        <w:t xml:space="preserve">  P</w:t>
      </w:r>
      <w:r w:rsidR="0052717F" w:rsidRPr="0052717F">
        <w:t xml:space="preserve">erformance management of providers will transfer to </w:t>
      </w:r>
      <w:r w:rsidR="00D26A6D" w:rsidRPr="0052717F">
        <w:t>regions</w:t>
      </w:r>
      <w:r w:rsidR="0052717F">
        <w:t>.</w:t>
      </w:r>
      <w:r w:rsidR="00D26A6D">
        <w:t xml:space="preserve">  </w:t>
      </w:r>
      <w:r w:rsidR="00D26A6D" w:rsidRPr="00D26A6D">
        <w:t>ICBs will oversee providers through their contracting arrangements but will not be responsible for leading the regulatory oversight of providers</w:t>
      </w:r>
      <w:r w:rsidR="00732795">
        <w:t>.</w:t>
      </w:r>
    </w:p>
    <w:p w14:paraId="5494C667" w14:textId="0EF7D658" w:rsidR="009C1BD3" w:rsidRPr="009C1BD3" w:rsidRDefault="009C1BD3" w:rsidP="009C1BD3"/>
    <w:p w14:paraId="51FCE9AB" w14:textId="5BDDCA69" w:rsidR="0066727C" w:rsidRDefault="008F703F">
      <w:r>
        <w:t>END OF SUMMARY</w:t>
      </w:r>
    </w:p>
    <w:p w14:paraId="60D7F984" w14:textId="71C54536" w:rsidR="00AB1C80" w:rsidRPr="00E01E17" w:rsidRDefault="0065799B" w:rsidP="00AB1C80">
      <w:pPr>
        <w:rPr>
          <w:color w:val="156082" w:themeColor="accent1"/>
        </w:rPr>
      </w:pPr>
      <w:r w:rsidRPr="00E01E17">
        <w:rPr>
          <w:color w:val="156082" w:themeColor="accent1"/>
        </w:rPr>
        <w:t>The following section</w:t>
      </w:r>
      <w:r w:rsidR="00656728">
        <w:rPr>
          <w:color w:val="156082" w:themeColor="accent1"/>
        </w:rPr>
        <w:t xml:space="preserve"> outlines</w:t>
      </w:r>
      <w:r w:rsidR="004E591C" w:rsidRPr="00E01E17">
        <w:rPr>
          <w:color w:val="156082" w:themeColor="accent1"/>
        </w:rPr>
        <w:t xml:space="preserve"> </w:t>
      </w:r>
      <w:r w:rsidR="00E01E17">
        <w:rPr>
          <w:color w:val="156082" w:themeColor="accent1"/>
        </w:rPr>
        <w:t>some</w:t>
      </w:r>
      <w:r w:rsidR="004E591C" w:rsidRPr="00E01E17">
        <w:rPr>
          <w:color w:val="156082" w:themeColor="accent1"/>
        </w:rPr>
        <w:t xml:space="preserve"> k</w:t>
      </w:r>
      <w:r w:rsidR="00AB1C80" w:rsidRPr="00E01E17">
        <w:rPr>
          <w:color w:val="156082" w:themeColor="accent1"/>
        </w:rPr>
        <w:t xml:space="preserve">ey </w:t>
      </w:r>
      <w:r w:rsidR="004E591C" w:rsidRPr="00E01E17">
        <w:rPr>
          <w:color w:val="156082" w:themeColor="accent1"/>
        </w:rPr>
        <w:t xml:space="preserve">take away points </w:t>
      </w:r>
      <w:r w:rsidR="00AB1C80" w:rsidRPr="00E01E17">
        <w:rPr>
          <w:color w:val="156082" w:themeColor="accent1"/>
        </w:rPr>
        <w:t>for General Practitioners</w:t>
      </w:r>
      <w:r w:rsidR="004E591C" w:rsidRPr="00E01E17">
        <w:rPr>
          <w:color w:val="156082" w:themeColor="accent1"/>
        </w:rPr>
        <w:t xml:space="preserve"> to consider:</w:t>
      </w:r>
    </w:p>
    <w:p w14:paraId="588C1FEF" w14:textId="77777777" w:rsidR="00AB1C80" w:rsidRPr="00E01E17" w:rsidRDefault="00AB1C80" w:rsidP="00AB1C80">
      <w:pPr>
        <w:rPr>
          <w:b/>
          <w:bCs/>
          <w:color w:val="156082" w:themeColor="accent1"/>
        </w:rPr>
      </w:pPr>
      <w:r w:rsidRPr="00E01E17">
        <w:rPr>
          <w:b/>
          <w:bCs/>
          <w:color w:val="156082" w:themeColor="accent1"/>
        </w:rPr>
        <w:t>1. Shift in Commissioning Responsibility</w:t>
      </w:r>
    </w:p>
    <w:p w14:paraId="12B1EBA5" w14:textId="77777777" w:rsidR="00AB1C80" w:rsidRPr="00E01E17" w:rsidRDefault="00AB1C80" w:rsidP="00AB1C80">
      <w:pPr>
        <w:numPr>
          <w:ilvl w:val="0"/>
          <w:numId w:val="16"/>
        </w:numPr>
        <w:rPr>
          <w:color w:val="156082" w:themeColor="accent1"/>
        </w:rPr>
      </w:pPr>
      <w:r w:rsidRPr="00E01E17">
        <w:rPr>
          <w:color w:val="156082" w:themeColor="accent1"/>
        </w:rPr>
        <w:t>Primary care services, including General Practice, are currently commissioned by NHS England but are in the process of being delegated to ICBs.</w:t>
      </w:r>
    </w:p>
    <w:p w14:paraId="4EA9C7EC" w14:textId="03A38E2F" w:rsidR="00AB1C80" w:rsidRPr="00E01E17" w:rsidRDefault="00AB1C80" w:rsidP="00AB1C80">
      <w:pPr>
        <w:numPr>
          <w:ilvl w:val="0"/>
          <w:numId w:val="16"/>
        </w:numPr>
        <w:rPr>
          <w:color w:val="156082" w:themeColor="accent1"/>
        </w:rPr>
      </w:pPr>
      <w:r w:rsidRPr="00E01E17">
        <w:rPr>
          <w:color w:val="156082" w:themeColor="accent1"/>
        </w:rPr>
        <w:t xml:space="preserve">Over time, commissioning responsibility for primary care operations and transformation will be transferred further to neighbourhood health providers, shifting the design and operational delivery of primary care </w:t>
      </w:r>
      <w:r w:rsidR="007D16EF" w:rsidRPr="00E01E17">
        <w:rPr>
          <w:color w:val="156082" w:themeColor="accent1"/>
        </w:rPr>
        <w:t xml:space="preserve">into the </w:t>
      </w:r>
      <w:r w:rsidRPr="00E01E17">
        <w:rPr>
          <w:color w:val="156082" w:themeColor="accent1"/>
        </w:rPr>
        <w:t>community</w:t>
      </w:r>
      <w:r w:rsidR="007D16EF" w:rsidRPr="00E01E17">
        <w:rPr>
          <w:color w:val="156082" w:themeColor="accent1"/>
        </w:rPr>
        <w:t>.</w:t>
      </w:r>
    </w:p>
    <w:p w14:paraId="62677E4D" w14:textId="77777777" w:rsidR="00AB1C80" w:rsidRPr="00E01E17" w:rsidRDefault="00AB1C80" w:rsidP="00AB1C80">
      <w:pPr>
        <w:rPr>
          <w:color w:val="156082" w:themeColor="accent1"/>
        </w:rPr>
      </w:pPr>
      <w:r w:rsidRPr="00E01E17">
        <w:rPr>
          <w:b/>
          <w:bCs/>
          <w:color w:val="156082" w:themeColor="accent1"/>
        </w:rPr>
        <w:t>Implication for GPs:</w:t>
      </w:r>
    </w:p>
    <w:p w14:paraId="37653A72" w14:textId="77777777" w:rsidR="00AB1C80" w:rsidRPr="00E01E17" w:rsidRDefault="00AB1C80" w:rsidP="00AB1C80">
      <w:pPr>
        <w:numPr>
          <w:ilvl w:val="0"/>
          <w:numId w:val="17"/>
        </w:numPr>
        <w:rPr>
          <w:color w:val="156082" w:themeColor="accent1"/>
        </w:rPr>
      </w:pPr>
      <w:r w:rsidRPr="00E01E17">
        <w:rPr>
          <w:color w:val="156082" w:themeColor="accent1"/>
        </w:rPr>
        <w:t>GPs will increasingly engage with local neighbourhood teams rather than ICBs for support, transformation initiatives, and operational issues.</w:t>
      </w:r>
    </w:p>
    <w:p w14:paraId="41800586" w14:textId="581BEA7B" w:rsidR="00AB1C80" w:rsidRDefault="00AB1C80" w:rsidP="00AB1C80">
      <w:pPr>
        <w:numPr>
          <w:ilvl w:val="0"/>
          <w:numId w:val="17"/>
        </w:numPr>
        <w:rPr>
          <w:color w:val="156082" w:themeColor="accent1"/>
        </w:rPr>
      </w:pPr>
      <w:r w:rsidRPr="00E01E17">
        <w:rPr>
          <w:color w:val="156082" w:themeColor="accent1"/>
        </w:rPr>
        <w:t>GPs may experience more place-based commissioning that is tailored to local population needs.</w:t>
      </w:r>
    </w:p>
    <w:p w14:paraId="570B833D" w14:textId="5EA79622" w:rsidR="009C2EFA" w:rsidRPr="00E01E17" w:rsidRDefault="009C2EFA" w:rsidP="00AB1C80">
      <w:pPr>
        <w:numPr>
          <w:ilvl w:val="0"/>
          <w:numId w:val="17"/>
        </w:numPr>
        <w:rPr>
          <w:color w:val="156082" w:themeColor="accent1"/>
        </w:rPr>
      </w:pPr>
      <w:r>
        <w:rPr>
          <w:color w:val="156082" w:themeColor="accent1"/>
        </w:rPr>
        <w:t>There is likely to be a lead provider organisation</w:t>
      </w:r>
      <w:r w:rsidR="005837D8">
        <w:rPr>
          <w:color w:val="156082" w:themeColor="accent1"/>
        </w:rPr>
        <w:t xml:space="preserve"> – who could that be in your area?</w:t>
      </w:r>
    </w:p>
    <w:p w14:paraId="6760C4E9" w14:textId="50D59E70" w:rsidR="00AB1C80" w:rsidRPr="00E01E17" w:rsidRDefault="00AB1C80" w:rsidP="00AB1C80">
      <w:pPr>
        <w:rPr>
          <w:color w:val="156082" w:themeColor="accent1"/>
        </w:rPr>
      </w:pPr>
    </w:p>
    <w:p w14:paraId="066F19AE" w14:textId="77777777" w:rsidR="00AB1C80" w:rsidRPr="00E01E17" w:rsidRDefault="00AB1C80" w:rsidP="00AB1C80">
      <w:pPr>
        <w:rPr>
          <w:b/>
          <w:bCs/>
          <w:color w:val="156082" w:themeColor="accent1"/>
        </w:rPr>
      </w:pPr>
      <w:r w:rsidRPr="00E01E17">
        <w:rPr>
          <w:b/>
          <w:bCs/>
          <w:color w:val="156082" w:themeColor="accent1"/>
        </w:rPr>
        <w:t>2. Integration into Neighbourhood Health Teams</w:t>
      </w:r>
    </w:p>
    <w:p w14:paraId="6F38E56D" w14:textId="77777777" w:rsidR="00AB1C80" w:rsidRPr="00E01E17" w:rsidRDefault="00AB1C80" w:rsidP="00AB1C80">
      <w:pPr>
        <w:numPr>
          <w:ilvl w:val="0"/>
          <w:numId w:val="18"/>
        </w:numPr>
        <w:rPr>
          <w:color w:val="156082" w:themeColor="accent1"/>
        </w:rPr>
      </w:pPr>
      <w:r w:rsidRPr="00E01E17">
        <w:rPr>
          <w:color w:val="156082" w:themeColor="accent1"/>
        </w:rPr>
        <w:t>The Model ICB supports a system where care is moved from hospitals into the community, with a stronger role for integrated neighbourhood teams, including GPs, community services, mental health, and voluntary sectors.</w:t>
      </w:r>
    </w:p>
    <w:p w14:paraId="74C66FCB" w14:textId="77777777" w:rsidR="00AB1C80" w:rsidRPr="00E01E17" w:rsidRDefault="00AB1C80" w:rsidP="00AB1C80">
      <w:pPr>
        <w:rPr>
          <w:color w:val="156082" w:themeColor="accent1"/>
        </w:rPr>
      </w:pPr>
      <w:r w:rsidRPr="00E01E17">
        <w:rPr>
          <w:b/>
          <w:bCs/>
          <w:color w:val="156082" w:themeColor="accent1"/>
        </w:rPr>
        <w:lastRenderedPageBreak/>
        <w:t>Implication for GPs:</w:t>
      </w:r>
    </w:p>
    <w:p w14:paraId="7BBBBFD8" w14:textId="4CB3CBC8" w:rsidR="00AB1C80" w:rsidRPr="00E01E17" w:rsidRDefault="00AB1C80" w:rsidP="00AB1C80">
      <w:pPr>
        <w:numPr>
          <w:ilvl w:val="0"/>
          <w:numId w:val="19"/>
        </w:numPr>
        <w:rPr>
          <w:color w:val="156082" w:themeColor="accent1"/>
        </w:rPr>
      </w:pPr>
      <w:r w:rsidRPr="00E01E17">
        <w:rPr>
          <w:color w:val="156082" w:themeColor="accent1"/>
        </w:rPr>
        <w:t xml:space="preserve">GPs will play a central role in delivering joined-up care </w:t>
      </w:r>
      <w:r w:rsidR="001E77A3" w:rsidRPr="00E01E17">
        <w:rPr>
          <w:color w:val="156082" w:themeColor="accent1"/>
        </w:rPr>
        <w:t>at a</w:t>
      </w:r>
      <w:r w:rsidRPr="00E01E17">
        <w:rPr>
          <w:color w:val="156082" w:themeColor="accent1"/>
        </w:rPr>
        <w:t xml:space="preserve"> neighbourhood level, becoming more integrated into multidisciplinary teams.</w:t>
      </w:r>
    </w:p>
    <w:p w14:paraId="6CBBC078" w14:textId="77777777" w:rsidR="00AB1C80" w:rsidRPr="00E01E17" w:rsidRDefault="00AB1C80" w:rsidP="00AB1C80">
      <w:pPr>
        <w:numPr>
          <w:ilvl w:val="0"/>
          <w:numId w:val="19"/>
        </w:numPr>
        <w:rPr>
          <w:color w:val="156082" w:themeColor="accent1"/>
        </w:rPr>
      </w:pPr>
      <w:r w:rsidRPr="00E01E17">
        <w:rPr>
          <w:color w:val="156082" w:themeColor="accent1"/>
        </w:rPr>
        <w:t>They may take on expanded responsibilities in population health management, proactive case finding, and care coordination.</w:t>
      </w:r>
    </w:p>
    <w:p w14:paraId="79D3B74C" w14:textId="2E2C20E1" w:rsidR="00AB1C80" w:rsidRPr="00E01E17" w:rsidRDefault="00AB1C80" w:rsidP="00AB1C80">
      <w:pPr>
        <w:rPr>
          <w:color w:val="156082" w:themeColor="accent1"/>
        </w:rPr>
      </w:pPr>
    </w:p>
    <w:p w14:paraId="4A2BDA9E" w14:textId="77777777" w:rsidR="00AB1C80" w:rsidRPr="00E01E17" w:rsidRDefault="00AB1C80" w:rsidP="00AB1C80">
      <w:pPr>
        <w:rPr>
          <w:b/>
          <w:bCs/>
          <w:color w:val="156082" w:themeColor="accent1"/>
        </w:rPr>
      </w:pPr>
      <w:r w:rsidRPr="00E01E17">
        <w:rPr>
          <w:b/>
          <w:bCs/>
          <w:color w:val="156082" w:themeColor="accent1"/>
        </w:rPr>
        <w:t>3. Operational Support Functions to Transfer Away from ICBs</w:t>
      </w:r>
    </w:p>
    <w:p w14:paraId="0F6EAA8E" w14:textId="2EFF4003" w:rsidR="00AB1C80" w:rsidRPr="00E01E17" w:rsidRDefault="00AB1C80" w:rsidP="00AB1C80">
      <w:pPr>
        <w:rPr>
          <w:color w:val="156082" w:themeColor="accent1"/>
        </w:rPr>
      </w:pPr>
      <w:r w:rsidRPr="00E01E17">
        <w:rPr>
          <w:color w:val="156082" w:themeColor="accent1"/>
        </w:rPr>
        <w:t xml:space="preserve">ICB responsibilities that are currently relevant to GPs and are set to transfer </w:t>
      </w:r>
      <w:r w:rsidR="00143C96" w:rsidRPr="00E01E17">
        <w:rPr>
          <w:color w:val="156082" w:themeColor="accent1"/>
        </w:rPr>
        <w:t xml:space="preserve">to providers </w:t>
      </w:r>
      <w:r w:rsidRPr="00E01E17">
        <w:rPr>
          <w:color w:val="156082" w:themeColor="accent1"/>
        </w:rPr>
        <w:t>include:</w:t>
      </w:r>
    </w:p>
    <w:p w14:paraId="2391C42F" w14:textId="77777777" w:rsidR="00AB1C80" w:rsidRPr="00E01E17" w:rsidRDefault="00AB1C80" w:rsidP="00AB1C80">
      <w:pPr>
        <w:numPr>
          <w:ilvl w:val="0"/>
          <w:numId w:val="20"/>
        </w:numPr>
        <w:rPr>
          <w:color w:val="156082" w:themeColor="accent1"/>
        </w:rPr>
      </w:pPr>
      <w:r w:rsidRPr="00E01E17">
        <w:rPr>
          <w:color w:val="156082" w:themeColor="accent1"/>
        </w:rPr>
        <w:t>Primary care estates planning</w:t>
      </w:r>
    </w:p>
    <w:p w14:paraId="2A1FF433" w14:textId="77777777" w:rsidR="00AB1C80" w:rsidRPr="00E01E17" w:rsidRDefault="00AB1C80" w:rsidP="00AB1C80">
      <w:pPr>
        <w:numPr>
          <w:ilvl w:val="0"/>
          <w:numId w:val="20"/>
        </w:numPr>
        <w:rPr>
          <w:color w:val="156082" w:themeColor="accent1"/>
        </w:rPr>
      </w:pPr>
      <w:r w:rsidRPr="00E01E17">
        <w:rPr>
          <w:color w:val="156082" w:themeColor="accent1"/>
        </w:rPr>
        <w:t>Workforce support and transformation</w:t>
      </w:r>
    </w:p>
    <w:p w14:paraId="26E81A0D" w14:textId="77777777" w:rsidR="00AB1C80" w:rsidRPr="00E01E17" w:rsidRDefault="00AB1C80" w:rsidP="00AB1C80">
      <w:pPr>
        <w:numPr>
          <w:ilvl w:val="0"/>
          <w:numId w:val="20"/>
        </w:numPr>
        <w:rPr>
          <w:color w:val="156082" w:themeColor="accent1"/>
        </w:rPr>
      </w:pPr>
      <w:r w:rsidRPr="00E01E17">
        <w:rPr>
          <w:color w:val="156082" w:themeColor="accent1"/>
        </w:rPr>
        <w:t>Medicines optimisation</w:t>
      </w:r>
    </w:p>
    <w:p w14:paraId="313C302D" w14:textId="77777777" w:rsidR="00AB1C80" w:rsidRPr="00E01E17" w:rsidRDefault="00AB1C80" w:rsidP="00AB1C80">
      <w:pPr>
        <w:numPr>
          <w:ilvl w:val="0"/>
          <w:numId w:val="20"/>
        </w:numPr>
        <w:rPr>
          <w:color w:val="156082" w:themeColor="accent1"/>
        </w:rPr>
      </w:pPr>
      <w:r w:rsidRPr="00E01E17">
        <w:rPr>
          <w:color w:val="156082" w:themeColor="accent1"/>
        </w:rPr>
        <w:t>GP IT support</w:t>
      </w:r>
    </w:p>
    <w:p w14:paraId="6D1104D0" w14:textId="77777777" w:rsidR="00AB1C80" w:rsidRPr="00E01E17" w:rsidRDefault="00AB1C80" w:rsidP="00AB1C80">
      <w:pPr>
        <w:rPr>
          <w:color w:val="156082" w:themeColor="accent1"/>
        </w:rPr>
      </w:pPr>
      <w:r w:rsidRPr="00E01E17">
        <w:rPr>
          <w:b/>
          <w:bCs/>
          <w:color w:val="156082" w:themeColor="accent1"/>
        </w:rPr>
        <w:t>Implication for GPs:</w:t>
      </w:r>
    </w:p>
    <w:p w14:paraId="40F290EE" w14:textId="77777777" w:rsidR="00AB1C80" w:rsidRPr="00E01E17" w:rsidRDefault="00AB1C80" w:rsidP="00AB1C80">
      <w:pPr>
        <w:numPr>
          <w:ilvl w:val="0"/>
          <w:numId w:val="21"/>
        </w:numPr>
        <w:rPr>
          <w:color w:val="156082" w:themeColor="accent1"/>
        </w:rPr>
      </w:pPr>
      <w:r w:rsidRPr="00E01E17">
        <w:rPr>
          <w:color w:val="156082" w:themeColor="accent1"/>
        </w:rPr>
        <w:t>While strategic commissioning oversight will remain with ICBs, delivery support functions (e.g., IT, workforce, premises) will eventually be managed by providers or regional systems.</w:t>
      </w:r>
    </w:p>
    <w:p w14:paraId="34AECD8F" w14:textId="5131C7A5" w:rsidR="00AB1C80" w:rsidRPr="00E01E17" w:rsidRDefault="00AB1C80" w:rsidP="00AB1C80">
      <w:pPr>
        <w:numPr>
          <w:ilvl w:val="0"/>
          <w:numId w:val="21"/>
        </w:numPr>
        <w:rPr>
          <w:color w:val="156082" w:themeColor="accent1"/>
        </w:rPr>
      </w:pPr>
      <w:r w:rsidRPr="00E01E17">
        <w:rPr>
          <w:color w:val="156082" w:themeColor="accent1"/>
        </w:rPr>
        <w:t xml:space="preserve">This may lead to providers </w:t>
      </w:r>
      <w:r w:rsidR="009F344C" w:rsidRPr="00E01E17">
        <w:rPr>
          <w:color w:val="156082" w:themeColor="accent1"/>
        </w:rPr>
        <w:t xml:space="preserve">having greater influence </w:t>
      </w:r>
      <w:r w:rsidRPr="00E01E17">
        <w:rPr>
          <w:color w:val="156082" w:themeColor="accent1"/>
        </w:rPr>
        <w:t>on the infrastructure and tools</w:t>
      </w:r>
      <w:r w:rsidR="008E1FF9">
        <w:rPr>
          <w:color w:val="156082" w:themeColor="accent1"/>
        </w:rPr>
        <w:t xml:space="preserve"> that</w:t>
      </w:r>
      <w:r w:rsidRPr="00E01E17">
        <w:rPr>
          <w:color w:val="156082" w:themeColor="accent1"/>
        </w:rPr>
        <w:t xml:space="preserve"> GPs rely on.</w:t>
      </w:r>
    </w:p>
    <w:p w14:paraId="3110AB49" w14:textId="759F2783" w:rsidR="00AB1C80" w:rsidRPr="00E01E17" w:rsidRDefault="00AB1C80" w:rsidP="00AB1C80">
      <w:pPr>
        <w:rPr>
          <w:color w:val="156082" w:themeColor="accent1"/>
        </w:rPr>
      </w:pPr>
    </w:p>
    <w:p w14:paraId="6787DC2B" w14:textId="77777777" w:rsidR="00AB1C80" w:rsidRPr="00E01E17" w:rsidRDefault="00AB1C80" w:rsidP="00AB1C80">
      <w:pPr>
        <w:rPr>
          <w:b/>
          <w:bCs/>
          <w:color w:val="156082" w:themeColor="accent1"/>
        </w:rPr>
      </w:pPr>
      <w:r w:rsidRPr="00E01E17">
        <w:rPr>
          <w:b/>
          <w:bCs/>
          <w:color w:val="156082" w:themeColor="accent1"/>
        </w:rPr>
        <w:t>4. Payment Models and Contracting</w:t>
      </w:r>
    </w:p>
    <w:p w14:paraId="621656DA" w14:textId="77777777" w:rsidR="00AB1C80" w:rsidRPr="00E01E17" w:rsidRDefault="00AB1C80" w:rsidP="00AB1C80">
      <w:pPr>
        <w:numPr>
          <w:ilvl w:val="0"/>
          <w:numId w:val="22"/>
        </w:numPr>
        <w:rPr>
          <w:color w:val="156082" w:themeColor="accent1"/>
        </w:rPr>
      </w:pPr>
      <w:r w:rsidRPr="00E01E17">
        <w:rPr>
          <w:color w:val="156082" w:themeColor="accent1"/>
        </w:rPr>
        <w:t>ICBs will retain and enhance capabilities around contracting, market shaping, and outcome-based payment mechanisms.</w:t>
      </w:r>
    </w:p>
    <w:p w14:paraId="0E0EE55B" w14:textId="77777777" w:rsidR="00AB1C80" w:rsidRPr="00E01E17" w:rsidRDefault="00AB1C80" w:rsidP="00AB1C80">
      <w:pPr>
        <w:numPr>
          <w:ilvl w:val="0"/>
          <w:numId w:val="22"/>
        </w:numPr>
        <w:rPr>
          <w:color w:val="156082" w:themeColor="accent1"/>
        </w:rPr>
      </w:pPr>
      <w:r w:rsidRPr="00E01E17">
        <w:rPr>
          <w:color w:val="156082" w:themeColor="accent1"/>
        </w:rPr>
        <w:t>There will be an emphasis on blended payments, gainshare models, and incentives linked to reducing inequalities.</w:t>
      </w:r>
    </w:p>
    <w:p w14:paraId="6C8186B5" w14:textId="77777777" w:rsidR="00AB1C80" w:rsidRPr="00E01E17" w:rsidRDefault="00AB1C80" w:rsidP="00AB1C80">
      <w:pPr>
        <w:rPr>
          <w:color w:val="156082" w:themeColor="accent1"/>
        </w:rPr>
      </w:pPr>
      <w:r w:rsidRPr="00E01E17">
        <w:rPr>
          <w:b/>
          <w:bCs/>
          <w:color w:val="156082" w:themeColor="accent1"/>
        </w:rPr>
        <w:t>Implication for GPs:</w:t>
      </w:r>
    </w:p>
    <w:p w14:paraId="4019C5DD" w14:textId="77777777" w:rsidR="00AB1C80" w:rsidRPr="00E01E17" w:rsidRDefault="00AB1C80" w:rsidP="00AB1C80">
      <w:pPr>
        <w:numPr>
          <w:ilvl w:val="0"/>
          <w:numId w:val="23"/>
        </w:numPr>
        <w:rPr>
          <w:color w:val="156082" w:themeColor="accent1"/>
        </w:rPr>
      </w:pPr>
      <w:r w:rsidRPr="00E01E17">
        <w:rPr>
          <w:color w:val="156082" w:themeColor="accent1"/>
        </w:rPr>
        <w:t>GP contracts may be increasingly tied to population health outcomes and performance metrics.</w:t>
      </w:r>
    </w:p>
    <w:p w14:paraId="37C88FB8" w14:textId="77777777" w:rsidR="00AB1C80" w:rsidRPr="00E01E17" w:rsidRDefault="00AB1C80" w:rsidP="00AB1C80">
      <w:pPr>
        <w:numPr>
          <w:ilvl w:val="0"/>
          <w:numId w:val="23"/>
        </w:numPr>
        <w:rPr>
          <w:color w:val="156082" w:themeColor="accent1"/>
        </w:rPr>
      </w:pPr>
      <w:r w:rsidRPr="00E01E17">
        <w:rPr>
          <w:color w:val="156082" w:themeColor="accent1"/>
        </w:rPr>
        <w:t>There could be greater financial accountability and new incentive structures that reward equity, efficiency, and quality.</w:t>
      </w:r>
    </w:p>
    <w:p w14:paraId="243E56EB" w14:textId="1B694720" w:rsidR="00AB1C80" w:rsidRPr="00E01E17" w:rsidRDefault="00AB1C80" w:rsidP="00AB1C80">
      <w:pPr>
        <w:rPr>
          <w:color w:val="156082" w:themeColor="accent1"/>
        </w:rPr>
      </w:pPr>
    </w:p>
    <w:p w14:paraId="06993D62" w14:textId="77777777" w:rsidR="00AB1C80" w:rsidRPr="00E01E17" w:rsidRDefault="00AB1C80" w:rsidP="00AB1C80">
      <w:pPr>
        <w:rPr>
          <w:b/>
          <w:bCs/>
          <w:color w:val="156082" w:themeColor="accent1"/>
        </w:rPr>
      </w:pPr>
      <w:r w:rsidRPr="00E01E17">
        <w:rPr>
          <w:b/>
          <w:bCs/>
          <w:color w:val="156082" w:themeColor="accent1"/>
        </w:rPr>
        <w:lastRenderedPageBreak/>
        <w:t>5. Expectations Around Engagement and Co-Design</w:t>
      </w:r>
    </w:p>
    <w:p w14:paraId="3FD47B12" w14:textId="77777777" w:rsidR="00AB1C80" w:rsidRPr="00E01E17" w:rsidRDefault="00AB1C80" w:rsidP="00AB1C80">
      <w:pPr>
        <w:numPr>
          <w:ilvl w:val="0"/>
          <w:numId w:val="24"/>
        </w:numPr>
        <w:rPr>
          <w:color w:val="156082" w:themeColor="accent1"/>
        </w:rPr>
      </w:pPr>
      <w:r w:rsidRPr="00E01E17">
        <w:rPr>
          <w:color w:val="156082" w:themeColor="accent1"/>
        </w:rPr>
        <w:t>ICBs will embed user feedback and co-design in all planning processes.</w:t>
      </w:r>
    </w:p>
    <w:p w14:paraId="55822A4B" w14:textId="77777777" w:rsidR="00AB1C80" w:rsidRPr="00E01E17" w:rsidRDefault="00AB1C80" w:rsidP="00AB1C80">
      <w:pPr>
        <w:numPr>
          <w:ilvl w:val="0"/>
          <w:numId w:val="24"/>
        </w:numPr>
        <w:rPr>
          <w:color w:val="156082" w:themeColor="accent1"/>
        </w:rPr>
      </w:pPr>
      <w:r w:rsidRPr="00E01E17">
        <w:rPr>
          <w:color w:val="156082" w:themeColor="accent1"/>
        </w:rPr>
        <w:t>This includes engaging GPs and primary care teams in strategic decision-making and service redesign.</w:t>
      </w:r>
    </w:p>
    <w:p w14:paraId="7D9D6765" w14:textId="77777777" w:rsidR="00AB1C80" w:rsidRPr="00E01E17" w:rsidRDefault="00AB1C80" w:rsidP="00AB1C80">
      <w:pPr>
        <w:rPr>
          <w:color w:val="156082" w:themeColor="accent1"/>
        </w:rPr>
      </w:pPr>
      <w:r w:rsidRPr="00E01E17">
        <w:rPr>
          <w:b/>
          <w:bCs/>
          <w:color w:val="156082" w:themeColor="accent1"/>
        </w:rPr>
        <w:t>Implication for GPs:</w:t>
      </w:r>
    </w:p>
    <w:p w14:paraId="1A9479F7" w14:textId="77777777" w:rsidR="00AB1C80" w:rsidRPr="00E01E17" w:rsidRDefault="00AB1C80" w:rsidP="00AB1C80">
      <w:pPr>
        <w:numPr>
          <w:ilvl w:val="0"/>
          <w:numId w:val="25"/>
        </w:numPr>
        <w:rPr>
          <w:color w:val="156082" w:themeColor="accent1"/>
        </w:rPr>
      </w:pPr>
      <w:r w:rsidRPr="00E01E17">
        <w:rPr>
          <w:color w:val="156082" w:themeColor="accent1"/>
        </w:rPr>
        <w:t>GPs will be expected to take part in collaborative planning, particularly in the development of new care models and neighbourhood services.</w:t>
      </w:r>
    </w:p>
    <w:p w14:paraId="4D17BE57" w14:textId="77777777" w:rsidR="00AB1C80" w:rsidRPr="00E01E17" w:rsidRDefault="00AB1C80" w:rsidP="00AB1C80">
      <w:pPr>
        <w:numPr>
          <w:ilvl w:val="0"/>
          <w:numId w:val="25"/>
        </w:numPr>
        <w:rPr>
          <w:color w:val="156082" w:themeColor="accent1"/>
        </w:rPr>
      </w:pPr>
      <w:r w:rsidRPr="00E01E17">
        <w:rPr>
          <w:color w:val="156082" w:themeColor="accent1"/>
        </w:rPr>
        <w:t>They may also contribute more actively to strategic forums and evaluation efforts.</w:t>
      </w:r>
    </w:p>
    <w:p w14:paraId="22EDDFA2" w14:textId="30DA6467" w:rsidR="00AB1C80" w:rsidRPr="00E01E17" w:rsidRDefault="00AB1C80" w:rsidP="00AB1C80">
      <w:pPr>
        <w:rPr>
          <w:color w:val="156082" w:themeColor="accent1"/>
        </w:rPr>
      </w:pPr>
    </w:p>
    <w:p w14:paraId="1AA8FD08" w14:textId="77777777" w:rsidR="00AB1C80" w:rsidRPr="00E01E17" w:rsidRDefault="00AB1C80" w:rsidP="00AB1C80">
      <w:pPr>
        <w:rPr>
          <w:b/>
          <w:bCs/>
          <w:color w:val="156082" w:themeColor="accent1"/>
        </w:rPr>
      </w:pPr>
      <w:r w:rsidRPr="00E01E17">
        <w:rPr>
          <w:b/>
          <w:bCs/>
          <w:color w:val="156082" w:themeColor="accent1"/>
        </w:rPr>
        <w:t>6. Emphasis on Digital and Data Integration</w:t>
      </w:r>
    </w:p>
    <w:p w14:paraId="5FFFD1B4" w14:textId="77777777" w:rsidR="00AB1C80" w:rsidRPr="00E01E17" w:rsidRDefault="00AB1C80" w:rsidP="00AB1C80">
      <w:pPr>
        <w:numPr>
          <w:ilvl w:val="0"/>
          <w:numId w:val="26"/>
        </w:numPr>
        <w:rPr>
          <w:color w:val="156082" w:themeColor="accent1"/>
        </w:rPr>
      </w:pPr>
      <w:r w:rsidRPr="00E01E17">
        <w:rPr>
          <w:color w:val="156082" w:themeColor="accent1"/>
        </w:rPr>
        <w:t>GPs will be expected to contribute to and benefit from integrated data systems supported by the NHS Federated Data Platform (FDP).</w:t>
      </w:r>
    </w:p>
    <w:p w14:paraId="741CD043" w14:textId="77777777" w:rsidR="00AB1C80" w:rsidRPr="00E01E17" w:rsidRDefault="00AB1C80" w:rsidP="00AB1C80">
      <w:pPr>
        <w:numPr>
          <w:ilvl w:val="0"/>
          <w:numId w:val="26"/>
        </w:numPr>
        <w:rPr>
          <w:color w:val="156082" w:themeColor="accent1"/>
        </w:rPr>
      </w:pPr>
      <w:r w:rsidRPr="00E01E17">
        <w:rPr>
          <w:color w:val="156082" w:themeColor="accent1"/>
        </w:rPr>
        <w:t>ICBs will use real-time dashboards, predictive analytics, and outcome tracking to guide care.</w:t>
      </w:r>
    </w:p>
    <w:p w14:paraId="106E8D6F" w14:textId="77777777" w:rsidR="00AB1C80" w:rsidRPr="00E01E17" w:rsidRDefault="00AB1C80" w:rsidP="00AB1C80">
      <w:pPr>
        <w:rPr>
          <w:color w:val="156082" w:themeColor="accent1"/>
        </w:rPr>
      </w:pPr>
      <w:r w:rsidRPr="00E01E17">
        <w:rPr>
          <w:b/>
          <w:bCs/>
          <w:color w:val="156082" w:themeColor="accent1"/>
        </w:rPr>
        <w:t>Implication for GPs:</w:t>
      </w:r>
    </w:p>
    <w:p w14:paraId="7C348ECC" w14:textId="77777777" w:rsidR="00AB1C80" w:rsidRPr="00E01E17" w:rsidRDefault="00AB1C80" w:rsidP="00AB1C80">
      <w:pPr>
        <w:numPr>
          <w:ilvl w:val="0"/>
          <w:numId w:val="27"/>
        </w:numPr>
        <w:rPr>
          <w:color w:val="156082" w:themeColor="accent1"/>
        </w:rPr>
      </w:pPr>
      <w:r w:rsidRPr="00E01E17">
        <w:rPr>
          <w:color w:val="156082" w:themeColor="accent1"/>
        </w:rPr>
        <w:t>Increased data transparency and data-driven decision-making will influence care planning at the practice level.</w:t>
      </w:r>
    </w:p>
    <w:p w14:paraId="07572026" w14:textId="109C794F" w:rsidR="00AB1C80" w:rsidRPr="00E01E17" w:rsidRDefault="00AB1C80" w:rsidP="00AB1C80">
      <w:pPr>
        <w:numPr>
          <w:ilvl w:val="0"/>
          <w:numId w:val="27"/>
        </w:numPr>
        <w:rPr>
          <w:color w:val="156082" w:themeColor="accent1"/>
        </w:rPr>
      </w:pPr>
      <w:r w:rsidRPr="00E01E17">
        <w:rPr>
          <w:color w:val="156082" w:themeColor="accent1"/>
        </w:rPr>
        <w:t xml:space="preserve">GPs may see a rise in reporting and analysis </w:t>
      </w:r>
      <w:r w:rsidR="00725F48" w:rsidRPr="00E01E17">
        <w:rPr>
          <w:color w:val="156082" w:themeColor="accent1"/>
        </w:rPr>
        <w:t>expectations but</w:t>
      </w:r>
      <w:r w:rsidRPr="00E01E17">
        <w:rPr>
          <w:color w:val="156082" w:themeColor="accent1"/>
        </w:rPr>
        <w:t xml:space="preserve"> also improved insights into patient needs and system pressures.</w:t>
      </w:r>
    </w:p>
    <w:p w14:paraId="21B34F5C" w14:textId="307E8C5C" w:rsidR="00AB1C80" w:rsidRPr="00E01E17" w:rsidRDefault="00AB1C80" w:rsidP="00AB1C80">
      <w:pPr>
        <w:rPr>
          <w:color w:val="156082" w:themeColor="accent1"/>
        </w:rPr>
      </w:pPr>
    </w:p>
    <w:p w14:paraId="76F8434D" w14:textId="77777777" w:rsidR="00AB1C80" w:rsidRPr="00E01E17" w:rsidRDefault="00AB1C80" w:rsidP="00AB1C80">
      <w:pPr>
        <w:rPr>
          <w:b/>
          <w:bCs/>
          <w:color w:val="156082" w:themeColor="accent1"/>
        </w:rPr>
      </w:pPr>
      <w:r w:rsidRPr="00E01E17">
        <w:rPr>
          <w:b/>
          <w:bCs/>
          <w:color w:val="156082" w:themeColor="accent1"/>
        </w:rPr>
        <w:t>Conclusion</w:t>
      </w:r>
    </w:p>
    <w:p w14:paraId="2D3ADABC" w14:textId="11426162" w:rsidR="00AB1C80" w:rsidRPr="00E01E17" w:rsidRDefault="00AB1C80" w:rsidP="00AB1C80">
      <w:pPr>
        <w:rPr>
          <w:color w:val="156082" w:themeColor="accent1"/>
        </w:rPr>
      </w:pPr>
      <w:r w:rsidRPr="00E01E17">
        <w:rPr>
          <w:color w:val="156082" w:themeColor="accent1"/>
        </w:rPr>
        <w:t>The Model ICB Blueprint sets the stage for a more locali</w:t>
      </w:r>
      <w:r w:rsidR="007A619E" w:rsidRPr="00E01E17">
        <w:rPr>
          <w:color w:val="156082" w:themeColor="accent1"/>
        </w:rPr>
        <w:t>s</w:t>
      </w:r>
      <w:r w:rsidRPr="00E01E17">
        <w:rPr>
          <w:color w:val="156082" w:themeColor="accent1"/>
        </w:rPr>
        <w:t xml:space="preserve">ed, integrated, and digitally enabled primary care system, with GPs at the </w:t>
      </w:r>
      <w:r w:rsidR="007A619E" w:rsidRPr="00E01E17">
        <w:rPr>
          <w:color w:val="156082" w:themeColor="accent1"/>
        </w:rPr>
        <w:t>centre</w:t>
      </w:r>
      <w:r w:rsidRPr="00E01E17">
        <w:rPr>
          <w:color w:val="156082" w:themeColor="accent1"/>
        </w:rPr>
        <w:t xml:space="preserve"> of neighbourhood health delivery. However, the transition will require strong local collaboration, clear communication, and support for GPs to adapt to new commissioning structures and delivery models. Ensuring GPs are actively involved in the development of these changes will be critical to their success and sustainability.</w:t>
      </w:r>
    </w:p>
    <w:p w14:paraId="04C0E93A" w14:textId="77777777" w:rsidR="00AB1C80" w:rsidRPr="00E01E17" w:rsidRDefault="00AB1C80">
      <w:pPr>
        <w:rPr>
          <w:color w:val="156082" w:themeColor="accent1"/>
        </w:rPr>
      </w:pPr>
    </w:p>
    <w:sectPr w:rsidR="00AB1C80" w:rsidRPr="00E01E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408E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D265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B17BB"/>
    <w:multiLevelType w:val="hybridMultilevel"/>
    <w:tmpl w:val="3C5C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302E0"/>
    <w:multiLevelType w:val="hybridMultilevel"/>
    <w:tmpl w:val="D5B2BE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A7A33"/>
    <w:multiLevelType w:val="hybridMultilevel"/>
    <w:tmpl w:val="43C2F1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290639"/>
    <w:multiLevelType w:val="multilevel"/>
    <w:tmpl w:val="C0EA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20844"/>
    <w:multiLevelType w:val="multilevel"/>
    <w:tmpl w:val="A1C2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F1D43"/>
    <w:multiLevelType w:val="multilevel"/>
    <w:tmpl w:val="8EEC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8352B"/>
    <w:multiLevelType w:val="multilevel"/>
    <w:tmpl w:val="C662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23B08"/>
    <w:multiLevelType w:val="multilevel"/>
    <w:tmpl w:val="B5FE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F4BEB"/>
    <w:multiLevelType w:val="hybridMultilevel"/>
    <w:tmpl w:val="82D22E76"/>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24261140"/>
    <w:multiLevelType w:val="multilevel"/>
    <w:tmpl w:val="DDCE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C013B"/>
    <w:multiLevelType w:val="hybridMultilevel"/>
    <w:tmpl w:val="DD2A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B4BFB"/>
    <w:multiLevelType w:val="multilevel"/>
    <w:tmpl w:val="241C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D0259"/>
    <w:multiLevelType w:val="hybridMultilevel"/>
    <w:tmpl w:val="674099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42F48"/>
    <w:multiLevelType w:val="multilevel"/>
    <w:tmpl w:val="ED00C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Theme="minorHAnsi" w:hAnsi="Aptos" w:cstheme="minorBidi"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77DA4"/>
    <w:multiLevelType w:val="multilevel"/>
    <w:tmpl w:val="A44C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81987"/>
    <w:multiLevelType w:val="multilevel"/>
    <w:tmpl w:val="26E0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55F48"/>
    <w:multiLevelType w:val="multilevel"/>
    <w:tmpl w:val="394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24208"/>
    <w:multiLevelType w:val="multilevel"/>
    <w:tmpl w:val="FC6A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65892"/>
    <w:multiLevelType w:val="multilevel"/>
    <w:tmpl w:val="31AA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27D12"/>
    <w:multiLevelType w:val="multilevel"/>
    <w:tmpl w:val="D210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81D6F"/>
    <w:multiLevelType w:val="multilevel"/>
    <w:tmpl w:val="CE24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0673C"/>
    <w:multiLevelType w:val="multilevel"/>
    <w:tmpl w:val="82CC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D46EA"/>
    <w:multiLevelType w:val="multilevel"/>
    <w:tmpl w:val="9D16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A76141"/>
    <w:multiLevelType w:val="multilevel"/>
    <w:tmpl w:val="8BC4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4E7F4F"/>
    <w:multiLevelType w:val="multilevel"/>
    <w:tmpl w:val="C200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6A7D9E"/>
    <w:multiLevelType w:val="multilevel"/>
    <w:tmpl w:val="D37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60B0E"/>
    <w:multiLevelType w:val="multilevel"/>
    <w:tmpl w:val="A46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B2BC4"/>
    <w:multiLevelType w:val="multilevel"/>
    <w:tmpl w:val="64AA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675F5"/>
    <w:multiLevelType w:val="multilevel"/>
    <w:tmpl w:val="EDAA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3C288A"/>
    <w:multiLevelType w:val="multilevel"/>
    <w:tmpl w:val="FD68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5D1412"/>
    <w:multiLevelType w:val="multilevel"/>
    <w:tmpl w:val="58C6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B7A1C"/>
    <w:multiLevelType w:val="multilevel"/>
    <w:tmpl w:val="A86C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243399"/>
    <w:multiLevelType w:val="multilevel"/>
    <w:tmpl w:val="482C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C4686B"/>
    <w:multiLevelType w:val="multilevel"/>
    <w:tmpl w:val="ED00C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Theme="minorHAnsi" w:hAnsi="Aptos" w:cstheme="minorBidi"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939306">
    <w:abstractNumId w:val="15"/>
  </w:num>
  <w:num w:numId="2" w16cid:durableId="831799044">
    <w:abstractNumId w:val="5"/>
  </w:num>
  <w:num w:numId="3" w16cid:durableId="2011133348">
    <w:abstractNumId w:val="19"/>
  </w:num>
  <w:num w:numId="4" w16cid:durableId="1913078222">
    <w:abstractNumId w:val="29"/>
  </w:num>
  <w:num w:numId="5" w16cid:durableId="168445725">
    <w:abstractNumId w:val="17"/>
  </w:num>
  <w:num w:numId="6" w16cid:durableId="1045299300">
    <w:abstractNumId w:val="25"/>
  </w:num>
  <w:num w:numId="7" w16cid:durableId="1723478334">
    <w:abstractNumId w:val="11"/>
  </w:num>
  <w:num w:numId="8" w16cid:durableId="2141724993">
    <w:abstractNumId w:val="24"/>
  </w:num>
  <w:num w:numId="9" w16cid:durableId="168251741">
    <w:abstractNumId w:val="34"/>
  </w:num>
  <w:num w:numId="10" w16cid:durableId="462577379">
    <w:abstractNumId w:val="16"/>
  </w:num>
  <w:num w:numId="11" w16cid:durableId="108667177">
    <w:abstractNumId w:val="32"/>
  </w:num>
  <w:num w:numId="12" w16cid:durableId="299966411">
    <w:abstractNumId w:val="23"/>
  </w:num>
  <w:num w:numId="13" w16cid:durableId="2035570792">
    <w:abstractNumId w:val="30"/>
  </w:num>
  <w:num w:numId="14" w16cid:durableId="2110200488">
    <w:abstractNumId w:val="31"/>
  </w:num>
  <w:num w:numId="15" w16cid:durableId="1449816600">
    <w:abstractNumId w:val="27"/>
  </w:num>
  <w:num w:numId="16" w16cid:durableId="2094038238">
    <w:abstractNumId w:val="33"/>
  </w:num>
  <w:num w:numId="17" w16cid:durableId="1607955454">
    <w:abstractNumId w:val="9"/>
  </w:num>
  <w:num w:numId="18" w16cid:durableId="940182625">
    <w:abstractNumId w:val="7"/>
  </w:num>
  <w:num w:numId="19" w16cid:durableId="1685474217">
    <w:abstractNumId w:val="8"/>
  </w:num>
  <w:num w:numId="20" w16cid:durableId="1592271798">
    <w:abstractNumId w:val="22"/>
  </w:num>
  <w:num w:numId="21" w16cid:durableId="1233930272">
    <w:abstractNumId w:val="21"/>
  </w:num>
  <w:num w:numId="22" w16cid:durableId="1432311392">
    <w:abstractNumId w:val="18"/>
  </w:num>
  <w:num w:numId="23" w16cid:durableId="1235356993">
    <w:abstractNumId w:val="28"/>
  </w:num>
  <w:num w:numId="24" w16cid:durableId="1564098152">
    <w:abstractNumId w:val="13"/>
  </w:num>
  <w:num w:numId="25" w16cid:durableId="1532449367">
    <w:abstractNumId w:val="26"/>
  </w:num>
  <w:num w:numId="26" w16cid:durableId="366679109">
    <w:abstractNumId w:val="6"/>
  </w:num>
  <w:num w:numId="27" w16cid:durableId="721054099">
    <w:abstractNumId w:val="20"/>
  </w:num>
  <w:num w:numId="28" w16cid:durableId="704908789">
    <w:abstractNumId w:val="14"/>
  </w:num>
  <w:num w:numId="29" w16cid:durableId="2031055989">
    <w:abstractNumId w:val="3"/>
  </w:num>
  <w:num w:numId="30" w16cid:durableId="1851523352">
    <w:abstractNumId w:val="12"/>
  </w:num>
  <w:num w:numId="31" w16cid:durableId="166209718">
    <w:abstractNumId w:val="2"/>
  </w:num>
  <w:num w:numId="32" w16cid:durableId="775757291">
    <w:abstractNumId w:val="4"/>
  </w:num>
  <w:num w:numId="33" w16cid:durableId="1001546999">
    <w:abstractNumId w:val="10"/>
  </w:num>
  <w:num w:numId="34" w16cid:durableId="1670063777">
    <w:abstractNumId w:val="1"/>
  </w:num>
  <w:num w:numId="35" w16cid:durableId="138419866">
    <w:abstractNumId w:val="0"/>
  </w:num>
  <w:num w:numId="36" w16cid:durableId="19364038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7C"/>
    <w:rsid w:val="00004365"/>
    <w:rsid w:val="00005030"/>
    <w:rsid w:val="000113C6"/>
    <w:rsid w:val="00017764"/>
    <w:rsid w:val="00025B79"/>
    <w:rsid w:val="0002621F"/>
    <w:rsid w:val="0002631E"/>
    <w:rsid w:val="00027FF4"/>
    <w:rsid w:val="00030DCE"/>
    <w:rsid w:val="00041EF9"/>
    <w:rsid w:val="00045757"/>
    <w:rsid w:val="00056256"/>
    <w:rsid w:val="000647F3"/>
    <w:rsid w:val="000716BE"/>
    <w:rsid w:val="00073603"/>
    <w:rsid w:val="00074500"/>
    <w:rsid w:val="00086C82"/>
    <w:rsid w:val="00093D9A"/>
    <w:rsid w:val="000942CD"/>
    <w:rsid w:val="0009612A"/>
    <w:rsid w:val="000A02BC"/>
    <w:rsid w:val="000C05E9"/>
    <w:rsid w:val="000C1AEE"/>
    <w:rsid w:val="000C4451"/>
    <w:rsid w:val="000C7B93"/>
    <w:rsid w:val="000D1D7D"/>
    <w:rsid w:val="000E7A66"/>
    <w:rsid w:val="000F7CBF"/>
    <w:rsid w:val="001036F5"/>
    <w:rsid w:val="00106ECD"/>
    <w:rsid w:val="001106E9"/>
    <w:rsid w:val="00121AC3"/>
    <w:rsid w:val="00124A86"/>
    <w:rsid w:val="00126EB5"/>
    <w:rsid w:val="00130D34"/>
    <w:rsid w:val="001419B8"/>
    <w:rsid w:val="00143C96"/>
    <w:rsid w:val="00162B7A"/>
    <w:rsid w:val="00162E2B"/>
    <w:rsid w:val="00162EB5"/>
    <w:rsid w:val="00183566"/>
    <w:rsid w:val="001900D6"/>
    <w:rsid w:val="001A318D"/>
    <w:rsid w:val="001A3D93"/>
    <w:rsid w:val="001A4C6E"/>
    <w:rsid w:val="001B3196"/>
    <w:rsid w:val="001B6682"/>
    <w:rsid w:val="001C5735"/>
    <w:rsid w:val="001D3BAB"/>
    <w:rsid w:val="001D3E04"/>
    <w:rsid w:val="001E35DF"/>
    <w:rsid w:val="001E420A"/>
    <w:rsid w:val="001E4AA6"/>
    <w:rsid w:val="001E5952"/>
    <w:rsid w:val="001E6CCE"/>
    <w:rsid w:val="001E77A3"/>
    <w:rsid w:val="001F1432"/>
    <w:rsid w:val="001F2169"/>
    <w:rsid w:val="001F7CF2"/>
    <w:rsid w:val="002200A1"/>
    <w:rsid w:val="00227A91"/>
    <w:rsid w:val="00231A36"/>
    <w:rsid w:val="00235366"/>
    <w:rsid w:val="00235437"/>
    <w:rsid w:val="00244F96"/>
    <w:rsid w:val="002461A9"/>
    <w:rsid w:val="002479D0"/>
    <w:rsid w:val="00255B61"/>
    <w:rsid w:val="00255DCA"/>
    <w:rsid w:val="0027017F"/>
    <w:rsid w:val="002703C8"/>
    <w:rsid w:val="002734AA"/>
    <w:rsid w:val="00274D2A"/>
    <w:rsid w:val="00277307"/>
    <w:rsid w:val="0028532D"/>
    <w:rsid w:val="002866F7"/>
    <w:rsid w:val="00287F2D"/>
    <w:rsid w:val="002901C7"/>
    <w:rsid w:val="00295EFD"/>
    <w:rsid w:val="00295F14"/>
    <w:rsid w:val="002B46CF"/>
    <w:rsid w:val="002C2239"/>
    <w:rsid w:val="002C2CB8"/>
    <w:rsid w:val="002C56EC"/>
    <w:rsid w:val="002F5661"/>
    <w:rsid w:val="002F5A79"/>
    <w:rsid w:val="00304688"/>
    <w:rsid w:val="00311D15"/>
    <w:rsid w:val="0031525B"/>
    <w:rsid w:val="00327715"/>
    <w:rsid w:val="00331642"/>
    <w:rsid w:val="0033165A"/>
    <w:rsid w:val="00335956"/>
    <w:rsid w:val="00342E00"/>
    <w:rsid w:val="00344D61"/>
    <w:rsid w:val="00346ADB"/>
    <w:rsid w:val="00347ADB"/>
    <w:rsid w:val="003507ED"/>
    <w:rsid w:val="00361A07"/>
    <w:rsid w:val="00364847"/>
    <w:rsid w:val="003711C0"/>
    <w:rsid w:val="0037376B"/>
    <w:rsid w:val="00390FC2"/>
    <w:rsid w:val="00393F31"/>
    <w:rsid w:val="003954F8"/>
    <w:rsid w:val="003A1FCF"/>
    <w:rsid w:val="003B1AB4"/>
    <w:rsid w:val="003B6AAB"/>
    <w:rsid w:val="003B7021"/>
    <w:rsid w:val="003C0416"/>
    <w:rsid w:val="003C2184"/>
    <w:rsid w:val="003C2F18"/>
    <w:rsid w:val="003C7F1E"/>
    <w:rsid w:val="003D3473"/>
    <w:rsid w:val="004133AF"/>
    <w:rsid w:val="00413799"/>
    <w:rsid w:val="004142F7"/>
    <w:rsid w:val="00415F3F"/>
    <w:rsid w:val="00420761"/>
    <w:rsid w:val="00422B23"/>
    <w:rsid w:val="00423316"/>
    <w:rsid w:val="0042567E"/>
    <w:rsid w:val="00432BE6"/>
    <w:rsid w:val="00433C0B"/>
    <w:rsid w:val="00445A8D"/>
    <w:rsid w:val="00460178"/>
    <w:rsid w:val="00460790"/>
    <w:rsid w:val="00470138"/>
    <w:rsid w:val="004726E6"/>
    <w:rsid w:val="00475BB2"/>
    <w:rsid w:val="00482562"/>
    <w:rsid w:val="0048529E"/>
    <w:rsid w:val="00491A3D"/>
    <w:rsid w:val="004A0532"/>
    <w:rsid w:val="004A4627"/>
    <w:rsid w:val="004A6892"/>
    <w:rsid w:val="004B2BE9"/>
    <w:rsid w:val="004B7293"/>
    <w:rsid w:val="004C2220"/>
    <w:rsid w:val="004D0710"/>
    <w:rsid w:val="004D2D4C"/>
    <w:rsid w:val="004D4F06"/>
    <w:rsid w:val="004E591C"/>
    <w:rsid w:val="004F6440"/>
    <w:rsid w:val="004F7A9F"/>
    <w:rsid w:val="005002E6"/>
    <w:rsid w:val="005054A6"/>
    <w:rsid w:val="00520D48"/>
    <w:rsid w:val="005225F1"/>
    <w:rsid w:val="0052313B"/>
    <w:rsid w:val="00523BB0"/>
    <w:rsid w:val="00524DC0"/>
    <w:rsid w:val="0052717F"/>
    <w:rsid w:val="00532CB5"/>
    <w:rsid w:val="00534FB4"/>
    <w:rsid w:val="0054074B"/>
    <w:rsid w:val="00572B57"/>
    <w:rsid w:val="005764E8"/>
    <w:rsid w:val="00576CAF"/>
    <w:rsid w:val="005815C0"/>
    <w:rsid w:val="005837D8"/>
    <w:rsid w:val="005840C4"/>
    <w:rsid w:val="00594E56"/>
    <w:rsid w:val="005A5F4B"/>
    <w:rsid w:val="005B120B"/>
    <w:rsid w:val="005B3EA6"/>
    <w:rsid w:val="005B5CB2"/>
    <w:rsid w:val="005B71DB"/>
    <w:rsid w:val="005C0869"/>
    <w:rsid w:val="005D6B5A"/>
    <w:rsid w:val="005D7F6C"/>
    <w:rsid w:val="005F4CE8"/>
    <w:rsid w:val="006239FA"/>
    <w:rsid w:val="00624400"/>
    <w:rsid w:val="006315D9"/>
    <w:rsid w:val="006328CE"/>
    <w:rsid w:val="00640F5E"/>
    <w:rsid w:val="00651DEE"/>
    <w:rsid w:val="0065372A"/>
    <w:rsid w:val="00656728"/>
    <w:rsid w:val="0065799B"/>
    <w:rsid w:val="00663B8D"/>
    <w:rsid w:val="00663D32"/>
    <w:rsid w:val="00665EF4"/>
    <w:rsid w:val="0066727C"/>
    <w:rsid w:val="006770CC"/>
    <w:rsid w:val="00684142"/>
    <w:rsid w:val="00691B74"/>
    <w:rsid w:val="006A3C09"/>
    <w:rsid w:val="006B0D43"/>
    <w:rsid w:val="006C37E6"/>
    <w:rsid w:val="006C4BB7"/>
    <w:rsid w:val="006C728F"/>
    <w:rsid w:val="006D2719"/>
    <w:rsid w:val="006D5ABF"/>
    <w:rsid w:val="006E7402"/>
    <w:rsid w:val="006E7B85"/>
    <w:rsid w:val="006F2211"/>
    <w:rsid w:val="006F28FE"/>
    <w:rsid w:val="00710A13"/>
    <w:rsid w:val="00713F50"/>
    <w:rsid w:val="00724869"/>
    <w:rsid w:val="00725EA9"/>
    <w:rsid w:val="00725F48"/>
    <w:rsid w:val="00732795"/>
    <w:rsid w:val="00734A1C"/>
    <w:rsid w:val="00736F37"/>
    <w:rsid w:val="00740F80"/>
    <w:rsid w:val="00744BF0"/>
    <w:rsid w:val="0074648A"/>
    <w:rsid w:val="0075516E"/>
    <w:rsid w:val="007555F4"/>
    <w:rsid w:val="0075609F"/>
    <w:rsid w:val="0076464E"/>
    <w:rsid w:val="00767F5F"/>
    <w:rsid w:val="00773B1B"/>
    <w:rsid w:val="00774045"/>
    <w:rsid w:val="00775AF7"/>
    <w:rsid w:val="00786690"/>
    <w:rsid w:val="00792E66"/>
    <w:rsid w:val="007A17A0"/>
    <w:rsid w:val="007A619E"/>
    <w:rsid w:val="007B3131"/>
    <w:rsid w:val="007C2721"/>
    <w:rsid w:val="007C6285"/>
    <w:rsid w:val="007D16EF"/>
    <w:rsid w:val="007D546E"/>
    <w:rsid w:val="007F1130"/>
    <w:rsid w:val="007F5CDE"/>
    <w:rsid w:val="00806516"/>
    <w:rsid w:val="00810A45"/>
    <w:rsid w:val="00812947"/>
    <w:rsid w:val="0082126B"/>
    <w:rsid w:val="00825940"/>
    <w:rsid w:val="0083676B"/>
    <w:rsid w:val="008376A8"/>
    <w:rsid w:val="008378DD"/>
    <w:rsid w:val="0086313D"/>
    <w:rsid w:val="00867BFE"/>
    <w:rsid w:val="00880474"/>
    <w:rsid w:val="0088726D"/>
    <w:rsid w:val="00887468"/>
    <w:rsid w:val="00891886"/>
    <w:rsid w:val="00896BCE"/>
    <w:rsid w:val="008A5C79"/>
    <w:rsid w:val="008B4052"/>
    <w:rsid w:val="008B57AE"/>
    <w:rsid w:val="008B612C"/>
    <w:rsid w:val="008B7608"/>
    <w:rsid w:val="008C78D7"/>
    <w:rsid w:val="008D63BE"/>
    <w:rsid w:val="008E1FF9"/>
    <w:rsid w:val="008F0B83"/>
    <w:rsid w:val="008F703F"/>
    <w:rsid w:val="009033D2"/>
    <w:rsid w:val="00905061"/>
    <w:rsid w:val="00907D1F"/>
    <w:rsid w:val="0091328B"/>
    <w:rsid w:val="009230C4"/>
    <w:rsid w:val="00930929"/>
    <w:rsid w:val="0093210F"/>
    <w:rsid w:val="00933B21"/>
    <w:rsid w:val="00942F7C"/>
    <w:rsid w:val="009457A2"/>
    <w:rsid w:val="00950F30"/>
    <w:rsid w:val="00951631"/>
    <w:rsid w:val="0095596B"/>
    <w:rsid w:val="00963658"/>
    <w:rsid w:val="00970448"/>
    <w:rsid w:val="00987712"/>
    <w:rsid w:val="009C0981"/>
    <w:rsid w:val="009C1BD3"/>
    <w:rsid w:val="009C2EFA"/>
    <w:rsid w:val="009C5CF2"/>
    <w:rsid w:val="009D40DB"/>
    <w:rsid w:val="009D70A9"/>
    <w:rsid w:val="009E58DC"/>
    <w:rsid w:val="009E5F9F"/>
    <w:rsid w:val="009F10CC"/>
    <w:rsid w:val="009F344C"/>
    <w:rsid w:val="009F5CBE"/>
    <w:rsid w:val="009F5F59"/>
    <w:rsid w:val="00A017B1"/>
    <w:rsid w:val="00A03D5D"/>
    <w:rsid w:val="00A05AEA"/>
    <w:rsid w:val="00A132EC"/>
    <w:rsid w:val="00A37CF7"/>
    <w:rsid w:val="00A40745"/>
    <w:rsid w:val="00A40D5E"/>
    <w:rsid w:val="00A4442A"/>
    <w:rsid w:val="00A50FB1"/>
    <w:rsid w:val="00A54724"/>
    <w:rsid w:val="00A5531D"/>
    <w:rsid w:val="00A55CF6"/>
    <w:rsid w:val="00A74619"/>
    <w:rsid w:val="00A74D00"/>
    <w:rsid w:val="00A83A70"/>
    <w:rsid w:val="00A90C09"/>
    <w:rsid w:val="00A90E87"/>
    <w:rsid w:val="00A90EC8"/>
    <w:rsid w:val="00A90FCA"/>
    <w:rsid w:val="00AA0974"/>
    <w:rsid w:val="00AA5751"/>
    <w:rsid w:val="00AB1C80"/>
    <w:rsid w:val="00AB7951"/>
    <w:rsid w:val="00AC4847"/>
    <w:rsid w:val="00AD4C35"/>
    <w:rsid w:val="00AE0D09"/>
    <w:rsid w:val="00AF370E"/>
    <w:rsid w:val="00AF7936"/>
    <w:rsid w:val="00B001CD"/>
    <w:rsid w:val="00B02636"/>
    <w:rsid w:val="00B037D8"/>
    <w:rsid w:val="00B0580A"/>
    <w:rsid w:val="00B05AF6"/>
    <w:rsid w:val="00B30BD4"/>
    <w:rsid w:val="00B30D0F"/>
    <w:rsid w:val="00B35F0A"/>
    <w:rsid w:val="00B46A48"/>
    <w:rsid w:val="00B5161A"/>
    <w:rsid w:val="00B52B71"/>
    <w:rsid w:val="00B55F6A"/>
    <w:rsid w:val="00B61A09"/>
    <w:rsid w:val="00B75DF2"/>
    <w:rsid w:val="00B8246D"/>
    <w:rsid w:val="00B84D71"/>
    <w:rsid w:val="00B8616C"/>
    <w:rsid w:val="00B97EF0"/>
    <w:rsid w:val="00B97F86"/>
    <w:rsid w:val="00BA0545"/>
    <w:rsid w:val="00BA7F69"/>
    <w:rsid w:val="00BB02D6"/>
    <w:rsid w:val="00BB5A13"/>
    <w:rsid w:val="00BB65B7"/>
    <w:rsid w:val="00BB6E7C"/>
    <w:rsid w:val="00BC351D"/>
    <w:rsid w:val="00BC580A"/>
    <w:rsid w:val="00BD096B"/>
    <w:rsid w:val="00BD3DC7"/>
    <w:rsid w:val="00BD54A6"/>
    <w:rsid w:val="00BE24CD"/>
    <w:rsid w:val="00BE27DE"/>
    <w:rsid w:val="00BF5951"/>
    <w:rsid w:val="00C00C74"/>
    <w:rsid w:val="00C02647"/>
    <w:rsid w:val="00C07B60"/>
    <w:rsid w:val="00C16E01"/>
    <w:rsid w:val="00C21ABC"/>
    <w:rsid w:val="00C2636E"/>
    <w:rsid w:val="00C3196A"/>
    <w:rsid w:val="00C42415"/>
    <w:rsid w:val="00C51E86"/>
    <w:rsid w:val="00C5632E"/>
    <w:rsid w:val="00C60A3F"/>
    <w:rsid w:val="00C612BB"/>
    <w:rsid w:val="00C62C33"/>
    <w:rsid w:val="00C6578F"/>
    <w:rsid w:val="00C66C83"/>
    <w:rsid w:val="00C67005"/>
    <w:rsid w:val="00C70583"/>
    <w:rsid w:val="00C7734F"/>
    <w:rsid w:val="00CA00E3"/>
    <w:rsid w:val="00CA0272"/>
    <w:rsid w:val="00CA2A0A"/>
    <w:rsid w:val="00CD3167"/>
    <w:rsid w:val="00CD75AC"/>
    <w:rsid w:val="00CE4BAB"/>
    <w:rsid w:val="00CE5956"/>
    <w:rsid w:val="00CE660F"/>
    <w:rsid w:val="00D00734"/>
    <w:rsid w:val="00D0163B"/>
    <w:rsid w:val="00D037FA"/>
    <w:rsid w:val="00D04D6F"/>
    <w:rsid w:val="00D12EF3"/>
    <w:rsid w:val="00D162C2"/>
    <w:rsid w:val="00D168E3"/>
    <w:rsid w:val="00D23642"/>
    <w:rsid w:val="00D240A9"/>
    <w:rsid w:val="00D26A6D"/>
    <w:rsid w:val="00D420EE"/>
    <w:rsid w:val="00D42C7B"/>
    <w:rsid w:val="00D520F1"/>
    <w:rsid w:val="00D548F2"/>
    <w:rsid w:val="00D55164"/>
    <w:rsid w:val="00D76485"/>
    <w:rsid w:val="00D85F13"/>
    <w:rsid w:val="00DB1511"/>
    <w:rsid w:val="00DB6219"/>
    <w:rsid w:val="00DC020B"/>
    <w:rsid w:val="00DC2FA3"/>
    <w:rsid w:val="00DC5A6A"/>
    <w:rsid w:val="00E01E17"/>
    <w:rsid w:val="00E049C5"/>
    <w:rsid w:val="00E308CE"/>
    <w:rsid w:val="00E41E47"/>
    <w:rsid w:val="00E43294"/>
    <w:rsid w:val="00E458A4"/>
    <w:rsid w:val="00E76675"/>
    <w:rsid w:val="00E92B56"/>
    <w:rsid w:val="00EA1CFA"/>
    <w:rsid w:val="00EA6F26"/>
    <w:rsid w:val="00EC567C"/>
    <w:rsid w:val="00EE59AF"/>
    <w:rsid w:val="00EF125F"/>
    <w:rsid w:val="00EF25C0"/>
    <w:rsid w:val="00F142D6"/>
    <w:rsid w:val="00F24362"/>
    <w:rsid w:val="00F24473"/>
    <w:rsid w:val="00F25379"/>
    <w:rsid w:val="00F4273E"/>
    <w:rsid w:val="00F42DBA"/>
    <w:rsid w:val="00F45443"/>
    <w:rsid w:val="00F61AE9"/>
    <w:rsid w:val="00F654DE"/>
    <w:rsid w:val="00F66528"/>
    <w:rsid w:val="00F81328"/>
    <w:rsid w:val="00F830A8"/>
    <w:rsid w:val="00F92969"/>
    <w:rsid w:val="00F92A76"/>
    <w:rsid w:val="00F97AF5"/>
    <w:rsid w:val="00FA3C8F"/>
    <w:rsid w:val="00FB75D9"/>
    <w:rsid w:val="00FC76F5"/>
    <w:rsid w:val="00FD3611"/>
    <w:rsid w:val="00FE3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62EC"/>
  <w15:chartTrackingRefBased/>
  <w15:docId w15:val="{36314B89-AF54-4512-A829-E13EB1C9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27C"/>
    <w:rPr>
      <w:rFonts w:eastAsiaTheme="majorEastAsia" w:cstheme="majorBidi"/>
      <w:color w:val="272727" w:themeColor="text1" w:themeTint="D8"/>
    </w:rPr>
  </w:style>
  <w:style w:type="paragraph" w:styleId="Title">
    <w:name w:val="Title"/>
    <w:basedOn w:val="Normal"/>
    <w:next w:val="Normal"/>
    <w:link w:val="TitleChar"/>
    <w:uiPriority w:val="10"/>
    <w:qFormat/>
    <w:rsid w:val="00667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27C"/>
    <w:pPr>
      <w:spacing w:before="160"/>
      <w:jc w:val="center"/>
    </w:pPr>
    <w:rPr>
      <w:i/>
      <w:iCs/>
      <w:color w:val="404040" w:themeColor="text1" w:themeTint="BF"/>
    </w:rPr>
  </w:style>
  <w:style w:type="character" w:customStyle="1" w:styleId="QuoteChar">
    <w:name w:val="Quote Char"/>
    <w:basedOn w:val="DefaultParagraphFont"/>
    <w:link w:val="Quote"/>
    <w:uiPriority w:val="29"/>
    <w:rsid w:val="0066727C"/>
    <w:rPr>
      <w:i/>
      <w:iCs/>
      <w:color w:val="404040" w:themeColor="text1" w:themeTint="BF"/>
    </w:rPr>
  </w:style>
  <w:style w:type="paragraph" w:styleId="ListParagraph">
    <w:name w:val="List Paragraph"/>
    <w:basedOn w:val="Normal"/>
    <w:uiPriority w:val="34"/>
    <w:qFormat/>
    <w:rsid w:val="0066727C"/>
    <w:pPr>
      <w:ind w:left="720"/>
      <w:contextualSpacing/>
    </w:pPr>
  </w:style>
  <w:style w:type="character" w:styleId="IntenseEmphasis">
    <w:name w:val="Intense Emphasis"/>
    <w:basedOn w:val="DefaultParagraphFont"/>
    <w:uiPriority w:val="21"/>
    <w:qFormat/>
    <w:rsid w:val="0066727C"/>
    <w:rPr>
      <w:i/>
      <w:iCs/>
      <w:color w:val="0F4761" w:themeColor="accent1" w:themeShade="BF"/>
    </w:rPr>
  </w:style>
  <w:style w:type="paragraph" w:styleId="IntenseQuote">
    <w:name w:val="Intense Quote"/>
    <w:basedOn w:val="Normal"/>
    <w:next w:val="Normal"/>
    <w:link w:val="IntenseQuoteChar"/>
    <w:uiPriority w:val="30"/>
    <w:qFormat/>
    <w:rsid w:val="00667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27C"/>
    <w:rPr>
      <w:i/>
      <w:iCs/>
      <w:color w:val="0F4761" w:themeColor="accent1" w:themeShade="BF"/>
    </w:rPr>
  </w:style>
  <w:style w:type="character" w:styleId="IntenseReference">
    <w:name w:val="Intense Reference"/>
    <w:basedOn w:val="DefaultParagraphFont"/>
    <w:uiPriority w:val="32"/>
    <w:qFormat/>
    <w:rsid w:val="006672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5483">
      <w:bodyDiv w:val="1"/>
      <w:marLeft w:val="0"/>
      <w:marRight w:val="0"/>
      <w:marTop w:val="0"/>
      <w:marBottom w:val="0"/>
      <w:divBdr>
        <w:top w:val="none" w:sz="0" w:space="0" w:color="auto"/>
        <w:left w:val="none" w:sz="0" w:space="0" w:color="auto"/>
        <w:bottom w:val="none" w:sz="0" w:space="0" w:color="auto"/>
        <w:right w:val="none" w:sz="0" w:space="0" w:color="auto"/>
      </w:divBdr>
    </w:div>
    <w:div w:id="1789423745">
      <w:bodyDiv w:val="1"/>
      <w:marLeft w:val="0"/>
      <w:marRight w:val="0"/>
      <w:marTop w:val="0"/>
      <w:marBottom w:val="0"/>
      <w:divBdr>
        <w:top w:val="none" w:sz="0" w:space="0" w:color="auto"/>
        <w:left w:val="none" w:sz="0" w:space="0" w:color="auto"/>
        <w:bottom w:val="none" w:sz="0" w:space="0" w:color="auto"/>
        <w:right w:val="none" w:sz="0" w:space="0" w:color="auto"/>
      </w:divBdr>
      <w:divsChild>
        <w:div w:id="52508068">
          <w:marLeft w:val="0"/>
          <w:marRight w:val="0"/>
          <w:marTop w:val="0"/>
          <w:marBottom w:val="0"/>
          <w:divBdr>
            <w:top w:val="none" w:sz="0" w:space="0" w:color="auto"/>
            <w:left w:val="none" w:sz="0" w:space="0" w:color="auto"/>
            <w:bottom w:val="none" w:sz="0" w:space="0" w:color="auto"/>
            <w:right w:val="none" w:sz="0" w:space="0" w:color="auto"/>
          </w:divBdr>
          <w:divsChild>
            <w:div w:id="1881046475">
              <w:marLeft w:val="0"/>
              <w:marRight w:val="0"/>
              <w:marTop w:val="0"/>
              <w:marBottom w:val="0"/>
              <w:divBdr>
                <w:top w:val="none" w:sz="0" w:space="0" w:color="auto"/>
                <w:left w:val="none" w:sz="0" w:space="0" w:color="auto"/>
                <w:bottom w:val="none" w:sz="0" w:space="0" w:color="auto"/>
                <w:right w:val="none" w:sz="0" w:space="0" w:color="auto"/>
              </w:divBdr>
              <w:divsChild>
                <w:div w:id="456141012">
                  <w:marLeft w:val="0"/>
                  <w:marRight w:val="0"/>
                  <w:marTop w:val="0"/>
                  <w:marBottom w:val="0"/>
                  <w:divBdr>
                    <w:top w:val="none" w:sz="0" w:space="0" w:color="auto"/>
                    <w:left w:val="none" w:sz="0" w:space="0" w:color="auto"/>
                    <w:bottom w:val="none" w:sz="0" w:space="0" w:color="auto"/>
                    <w:right w:val="none" w:sz="0" w:space="0" w:color="auto"/>
                  </w:divBdr>
                  <w:divsChild>
                    <w:div w:id="19548022">
                      <w:marLeft w:val="0"/>
                      <w:marRight w:val="0"/>
                      <w:marTop w:val="0"/>
                      <w:marBottom w:val="0"/>
                      <w:divBdr>
                        <w:top w:val="none" w:sz="0" w:space="0" w:color="auto"/>
                        <w:left w:val="none" w:sz="0" w:space="0" w:color="auto"/>
                        <w:bottom w:val="none" w:sz="0" w:space="0" w:color="auto"/>
                        <w:right w:val="none" w:sz="0" w:space="0" w:color="auto"/>
                      </w:divBdr>
                      <w:divsChild>
                        <w:div w:id="1737892400">
                          <w:marLeft w:val="0"/>
                          <w:marRight w:val="0"/>
                          <w:marTop w:val="0"/>
                          <w:marBottom w:val="0"/>
                          <w:divBdr>
                            <w:top w:val="none" w:sz="0" w:space="0" w:color="auto"/>
                            <w:left w:val="none" w:sz="0" w:space="0" w:color="auto"/>
                            <w:bottom w:val="none" w:sz="0" w:space="0" w:color="auto"/>
                            <w:right w:val="none" w:sz="0" w:space="0" w:color="auto"/>
                          </w:divBdr>
                          <w:divsChild>
                            <w:div w:id="1258513331">
                              <w:marLeft w:val="0"/>
                              <w:marRight w:val="0"/>
                              <w:marTop w:val="0"/>
                              <w:marBottom w:val="0"/>
                              <w:divBdr>
                                <w:top w:val="none" w:sz="0" w:space="0" w:color="auto"/>
                                <w:left w:val="none" w:sz="0" w:space="0" w:color="auto"/>
                                <w:bottom w:val="none" w:sz="0" w:space="0" w:color="auto"/>
                                <w:right w:val="none" w:sz="0" w:space="0" w:color="auto"/>
                              </w:divBdr>
                              <w:divsChild>
                                <w:div w:id="1571621584">
                                  <w:marLeft w:val="0"/>
                                  <w:marRight w:val="0"/>
                                  <w:marTop w:val="0"/>
                                  <w:marBottom w:val="0"/>
                                  <w:divBdr>
                                    <w:top w:val="none" w:sz="0" w:space="0" w:color="auto"/>
                                    <w:left w:val="none" w:sz="0" w:space="0" w:color="auto"/>
                                    <w:bottom w:val="none" w:sz="0" w:space="0" w:color="auto"/>
                                    <w:right w:val="none" w:sz="0" w:space="0" w:color="auto"/>
                                  </w:divBdr>
                                  <w:divsChild>
                                    <w:div w:id="10896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18622">
                          <w:marLeft w:val="0"/>
                          <w:marRight w:val="0"/>
                          <w:marTop w:val="0"/>
                          <w:marBottom w:val="0"/>
                          <w:divBdr>
                            <w:top w:val="none" w:sz="0" w:space="0" w:color="auto"/>
                            <w:left w:val="none" w:sz="0" w:space="0" w:color="auto"/>
                            <w:bottom w:val="none" w:sz="0" w:space="0" w:color="auto"/>
                            <w:right w:val="none" w:sz="0" w:space="0" w:color="auto"/>
                          </w:divBdr>
                          <w:divsChild>
                            <w:div w:id="608050994">
                              <w:marLeft w:val="0"/>
                              <w:marRight w:val="0"/>
                              <w:marTop w:val="0"/>
                              <w:marBottom w:val="0"/>
                              <w:divBdr>
                                <w:top w:val="none" w:sz="0" w:space="0" w:color="auto"/>
                                <w:left w:val="none" w:sz="0" w:space="0" w:color="auto"/>
                                <w:bottom w:val="none" w:sz="0" w:space="0" w:color="auto"/>
                                <w:right w:val="none" w:sz="0" w:space="0" w:color="auto"/>
                              </w:divBdr>
                              <w:divsChild>
                                <w:div w:id="4109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892766">
      <w:bodyDiv w:val="1"/>
      <w:marLeft w:val="0"/>
      <w:marRight w:val="0"/>
      <w:marTop w:val="0"/>
      <w:marBottom w:val="0"/>
      <w:divBdr>
        <w:top w:val="none" w:sz="0" w:space="0" w:color="auto"/>
        <w:left w:val="none" w:sz="0" w:space="0" w:color="auto"/>
        <w:bottom w:val="none" w:sz="0" w:space="0" w:color="auto"/>
        <w:right w:val="none" w:sz="0" w:space="0" w:color="auto"/>
      </w:divBdr>
      <w:divsChild>
        <w:div w:id="1308508474">
          <w:marLeft w:val="0"/>
          <w:marRight w:val="0"/>
          <w:marTop w:val="0"/>
          <w:marBottom w:val="0"/>
          <w:divBdr>
            <w:top w:val="none" w:sz="0" w:space="0" w:color="auto"/>
            <w:left w:val="none" w:sz="0" w:space="0" w:color="auto"/>
            <w:bottom w:val="none" w:sz="0" w:space="0" w:color="auto"/>
            <w:right w:val="none" w:sz="0" w:space="0" w:color="auto"/>
          </w:divBdr>
          <w:divsChild>
            <w:div w:id="2737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2206</Words>
  <Characters>12575</Characters>
  <Application>Microsoft Office Word</Application>
  <DocSecurity>0</DocSecurity>
  <Lines>104</Lines>
  <Paragraphs>29</Paragraphs>
  <ScaleCrop>false</ScaleCrop>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Gillian (GP LOCUM)</dc:creator>
  <cp:keywords/>
  <dc:description/>
  <cp:lastModifiedBy>tim horsburgh</cp:lastModifiedBy>
  <cp:revision>2</cp:revision>
  <cp:lastPrinted>2025-05-14T09:14:00Z</cp:lastPrinted>
  <dcterms:created xsi:type="dcterms:W3CDTF">2025-05-27T10:34:00Z</dcterms:created>
  <dcterms:modified xsi:type="dcterms:W3CDTF">2025-05-27T10:34:00Z</dcterms:modified>
</cp:coreProperties>
</file>