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337A0" w14:textId="18E4B944" w:rsidR="00F55F1C" w:rsidRDefault="00F55F1C" w:rsidP="00F55F1C">
      <w:pPr>
        <w:rPr>
          <w:b/>
          <w:bCs/>
          <w:sz w:val="32"/>
          <w:szCs w:val="32"/>
        </w:rPr>
      </w:pPr>
      <w:r w:rsidRPr="00BC7A92">
        <w:rPr>
          <w:b/>
          <w:bCs/>
          <w:sz w:val="32"/>
          <w:szCs w:val="32"/>
        </w:rPr>
        <w:t xml:space="preserve">Guidance on the use of AI-enabled ambient scribing products in health and care settings – A </w:t>
      </w:r>
      <w:r w:rsidR="001B731C">
        <w:rPr>
          <w:b/>
          <w:bCs/>
          <w:sz w:val="32"/>
          <w:szCs w:val="32"/>
        </w:rPr>
        <w:t>s</w:t>
      </w:r>
      <w:r w:rsidRPr="00BC7A92">
        <w:rPr>
          <w:b/>
          <w:bCs/>
          <w:sz w:val="32"/>
          <w:szCs w:val="32"/>
        </w:rPr>
        <w:t>ummary for LMCs</w:t>
      </w:r>
    </w:p>
    <w:p w14:paraId="369BE91A" w14:textId="75AC19FB" w:rsidR="002620C1" w:rsidRPr="005B3A03" w:rsidRDefault="005A43E1" w:rsidP="00F55F1C">
      <w:pPr>
        <w:rPr>
          <w:b/>
          <w:bCs/>
          <w:sz w:val="28"/>
          <w:szCs w:val="28"/>
        </w:rPr>
      </w:pPr>
      <w:r w:rsidRPr="005B3A03">
        <w:rPr>
          <w:b/>
          <w:bCs/>
          <w:sz w:val="28"/>
          <w:szCs w:val="28"/>
        </w:rPr>
        <w:t>C</w:t>
      </w:r>
      <w:r w:rsidR="00EF6171" w:rsidRPr="005B3A03">
        <w:rPr>
          <w:b/>
          <w:bCs/>
          <w:sz w:val="28"/>
          <w:szCs w:val="28"/>
        </w:rPr>
        <w:t>omment</w:t>
      </w:r>
      <w:r w:rsidRPr="005B3A03">
        <w:rPr>
          <w:b/>
          <w:bCs/>
          <w:sz w:val="28"/>
          <w:szCs w:val="28"/>
        </w:rPr>
        <w:t xml:space="preserve"> from GPCE Executive Officers</w:t>
      </w:r>
      <w:r w:rsidR="00EF6171" w:rsidRPr="005B3A03">
        <w:rPr>
          <w:b/>
          <w:bCs/>
          <w:sz w:val="28"/>
          <w:szCs w:val="28"/>
        </w:rPr>
        <w:t>:</w:t>
      </w:r>
      <w:r w:rsidR="000F6D88" w:rsidRPr="005B3A03">
        <w:rPr>
          <w:b/>
          <w:bCs/>
          <w:sz w:val="28"/>
          <w:szCs w:val="28"/>
        </w:rPr>
        <w:t xml:space="preserve"> </w:t>
      </w:r>
    </w:p>
    <w:p w14:paraId="28A1C30A" w14:textId="05C809F8" w:rsidR="00461094" w:rsidRPr="005B3A03" w:rsidRDefault="00461094" w:rsidP="00F55F1C">
      <w:pPr>
        <w:rPr>
          <w:b/>
          <w:bCs/>
          <w:color w:val="156082" w:themeColor="accent1"/>
        </w:rPr>
      </w:pPr>
      <w:r w:rsidRPr="005B3A03">
        <w:rPr>
          <w:b/>
          <w:bCs/>
          <w:color w:val="156082" w:themeColor="accent1"/>
        </w:rPr>
        <w:t>Use of Artificial Intelligence (AI) software in General Practice</w:t>
      </w:r>
    </w:p>
    <w:p w14:paraId="0875C91A" w14:textId="77777777" w:rsidR="00826C71" w:rsidRPr="005B3A03" w:rsidRDefault="00826C71" w:rsidP="00F55F1C">
      <w:pPr>
        <w:rPr>
          <w:i/>
          <w:iCs/>
          <w:color w:val="156082" w:themeColor="accent1"/>
        </w:rPr>
      </w:pPr>
      <w:r w:rsidRPr="005B3A03">
        <w:rPr>
          <w:i/>
          <w:iCs/>
          <w:color w:val="156082" w:themeColor="accent1"/>
        </w:rPr>
        <w:t>We recognise the importance evolving technologies can play in our day-to-day work, and with the recent availability of AI software tools being able to interface with our clinical systems, this has never been more apparent.  However, we feel it is important to make it clear that there are risks associated with the use of technologies, especially if they are to be considered medical devices, and appropriate regulatory approval must be in place before clinical use occurs. It is important to have absolute clarity around the use of confidential patient data, where it is transferred, when being processed, and where it may later be stored, and if it is made available for secondary purposes. We must maintain our patients’ trust in us as GPs and so must take the utmost care in the processing of their medical data.</w:t>
      </w:r>
    </w:p>
    <w:p w14:paraId="016DA975" w14:textId="704B7699" w:rsidR="00EF5604" w:rsidRPr="005B3A03" w:rsidRDefault="00826C71" w:rsidP="00F55F1C">
      <w:pPr>
        <w:rPr>
          <w:i/>
          <w:iCs/>
          <w:color w:val="156082" w:themeColor="accent1"/>
        </w:rPr>
      </w:pPr>
      <w:r w:rsidRPr="005B3A03">
        <w:rPr>
          <w:i/>
          <w:iCs/>
          <w:color w:val="156082" w:themeColor="accent1"/>
        </w:rPr>
        <w:t xml:space="preserve"> There are also obligations on suppliers and practices to comply with the Health and Social Care Act 2012, </w:t>
      </w:r>
      <w:proofErr w:type="gramStart"/>
      <w:r w:rsidRPr="005B3A03">
        <w:rPr>
          <w:i/>
          <w:iCs/>
          <w:color w:val="156082" w:themeColor="accent1"/>
        </w:rPr>
        <w:t>with regard to</w:t>
      </w:r>
      <w:proofErr w:type="gramEnd"/>
      <w:r w:rsidRPr="005B3A03">
        <w:rPr>
          <w:i/>
          <w:iCs/>
          <w:color w:val="156082" w:themeColor="accent1"/>
        </w:rPr>
        <w:t xml:space="preserve"> the application of standards such as DCB0129 and DCB0160.  Data protection legislation must also be complied with by practices and Data Protection Impact Assessments (DPIAs) constructed before any processing that is considered ‘high risk’ occurs. (cf. </w:t>
      </w:r>
      <w:hyperlink r:id="rId5" w:history="1">
        <w:r w:rsidR="00EF5604" w:rsidRPr="005B3A03">
          <w:rPr>
            <w:rStyle w:val="Hyperlink"/>
            <w:i/>
            <w:iCs/>
            <w:color w:val="156082" w:themeColor="accent1"/>
          </w:rPr>
          <w:t>https://ico.org.uk/for-organisations/uk-gdpr-guidance-and-resources/accountability-andgovernance/data-protection-impact-assessments-dpias/when-do-we-need-to-do-a-dpia/</w:t>
        </w:r>
      </w:hyperlink>
      <w:r w:rsidRPr="005B3A03">
        <w:rPr>
          <w:i/>
          <w:iCs/>
          <w:color w:val="156082" w:themeColor="accent1"/>
        </w:rPr>
        <w:t xml:space="preserve">). </w:t>
      </w:r>
    </w:p>
    <w:p w14:paraId="3E2C1616" w14:textId="66D050B1" w:rsidR="00EF5604" w:rsidRPr="00A51AEA" w:rsidRDefault="00826C71" w:rsidP="00F55F1C">
      <w:pPr>
        <w:rPr>
          <w:b/>
          <w:bCs/>
          <w:i/>
          <w:iCs/>
          <w:color w:val="156082" w:themeColor="accent1"/>
        </w:rPr>
      </w:pPr>
      <w:r w:rsidRPr="005B3A03">
        <w:rPr>
          <w:i/>
          <w:iCs/>
          <w:color w:val="156082" w:themeColor="accent1"/>
        </w:rPr>
        <w:t>Practices should ensure they have appropriate indemnity.  For technologies that are medical devices the Yellow Card Reporting System (https://yellowcard.mhra.gov.uk/) should be used if the outputs of an AI technology adversely affect the diagnosis or treatment of a patient. NHS England published advice on the use of AI scribes earlier this week (https://www.england.nhs.uk/publication/guidance-on-the-use-of-ai-enabled-ambient-scribingproducts/) which we would recommend you review</w:t>
      </w:r>
      <w:r w:rsidR="004967ED">
        <w:rPr>
          <w:i/>
          <w:iCs/>
          <w:color w:val="156082" w:themeColor="accent1"/>
        </w:rPr>
        <w:t xml:space="preserve"> (</w:t>
      </w:r>
      <w:r w:rsidR="004967ED">
        <w:rPr>
          <w:b/>
          <w:bCs/>
          <w:i/>
          <w:iCs/>
          <w:color w:val="156082" w:themeColor="accent1"/>
        </w:rPr>
        <w:t>t</w:t>
      </w:r>
      <w:r w:rsidR="00A51AEA">
        <w:rPr>
          <w:b/>
          <w:bCs/>
          <w:i/>
          <w:iCs/>
          <w:color w:val="156082" w:themeColor="accent1"/>
        </w:rPr>
        <w:t>his has been summarised for you below</w:t>
      </w:r>
      <w:r w:rsidR="004967ED">
        <w:rPr>
          <w:b/>
          <w:bCs/>
          <w:i/>
          <w:iCs/>
          <w:color w:val="156082" w:themeColor="accent1"/>
        </w:rPr>
        <w:t>)</w:t>
      </w:r>
      <w:r w:rsidR="00A51AEA">
        <w:rPr>
          <w:b/>
          <w:bCs/>
          <w:i/>
          <w:iCs/>
          <w:color w:val="156082" w:themeColor="accent1"/>
        </w:rPr>
        <w:t>.</w:t>
      </w:r>
    </w:p>
    <w:p w14:paraId="21CD614E" w14:textId="77777777" w:rsidR="00811F1F" w:rsidRPr="005B3A03" w:rsidRDefault="00826C71" w:rsidP="00F55F1C">
      <w:pPr>
        <w:rPr>
          <w:i/>
          <w:iCs/>
          <w:color w:val="156082" w:themeColor="accent1"/>
        </w:rPr>
      </w:pPr>
      <w:r w:rsidRPr="005B3A03">
        <w:rPr>
          <w:i/>
          <w:iCs/>
          <w:color w:val="156082" w:themeColor="accent1"/>
        </w:rPr>
        <w:t xml:space="preserve"> In summary, practices, as data controllers, need to understand the risks they may be taking on if using such AI technologies, particularly at this early stage when the regulatory landscape is in a state of flux. </w:t>
      </w:r>
    </w:p>
    <w:p w14:paraId="5C611A8C" w14:textId="60F7E9B3" w:rsidR="00826C71" w:rsidRPr="005B3A03" w:rsidRDefault="00826C71" w:rsidP="00F55F1C">
      <w:pPr>
        <w:rPr>
          <w:i/>
          <w:iCs/>
          <w:color w:val="156082" w:themeColor="accent1"/>
        </w:rPr>
      </w:pPr>
      <w:r w:rsidRPr="005B3A03">
        <w:rPr>
          <w:i/>
          <w:iCs/>
          <w:color w:val="156082" w:themeColor="accent1"/>
        </w:rPr>
        <w:t xml:space="preserve">In the coming months we will be working with external bodies to ensure any necessary regulation occurs at a national level and that GPs have the </w:t>
      </w:r>
      <w:r w:rsidR="00811F1F" w:rsidRPr="005B3A03">
        <w:rPr>
          <w:i/>
          <w:iCs/>
          <w:color w:val="156082" w:themeColor="accent1"/>
        </w:rPr>
        <w:t>protections they</w:t>
      </w:r>
      <w:r w:rsidRPr="005B3A03">
        <w:rPr>
          <w:i/>
          <w:iCs/>
          <w:color w:val="156082" w:themeColor="accent1"/>
        </w:rPr>
        <w:t xml:space="preserve"> require if these tools are to be adopted more widely, </w:t>
      </w:r>
      <w:proofErr w:type="gramStart"/>
      <w:r w:rsidRPr="005B3A03">
        <w:rPr>
          <w:i/>
          <w:iCs/>
          <w:color w:val="156082" w:themeColor="accent1"/>
        </w:rPr>
        <w:t>ensuring at all times</w:t>
      </w:r>
      <w:proofErr w:type="gramEnd"/>
      <w:r w:rsidRPr="005B3A03">
        <w:rPr>
          <w:i/>
          <w:iCs/>
          <w:color w:val="156082" w:themeColor="accent1"/>
        </w:rPr>
        <w:t xml:space="preserve"> that patients maintain their high level of trust in their GP.  We will also be publishing more detailed guidance to inform and support practices to utilise AI driven software the in the delivery of care. </w:t>
      </w:r>
    </w:p>
    <w:p w14:paraId="1F01FD08" w14:textId="77777777" w:rsidR="00826C71" w:rsidRPr="005B3A03" w:rsidRDefault="00826C71" w:rsidP="00F55F1C">
      <w:pPr>
        <w:rPr>
          <w:i/>
          <w:iCs/>
          <w:color w:val="156082" w:themeColor="accent1"/>
        </w:rPr>
      </w:pPr>
      <w:r w:rsidRPr="005B3A03">
        <w:rPr>
          <w:i/>
          <w:iCs/>
          <w:color w:val="156082" w:themeColor="accent1"/>
        </w:rPr>
        <w:lastRenderedPageBreak/>
        <w:t xml:space="preserve">Dr Mark Coley, GPC England Policy Lead for Digital, IT and Data </w:t>
      </w:r>
    </w:p>
    <w:p w14:paraId="3CCEB6E9" w14:textId="144465CC" w:rsidR="00F11BA6" w:rsidRPr="005B3A03" w:rsidRDefault="00826C71" w:rsidP="00F55F1C">
      <w:pPr>
        <w:rPr>
          <w:i/>
          <w:iCs/>
          <w:color w:val="156082" w:themeColor="accent1"/>
        </w:rPr>
      </w:pPr>
      <w:r w:rsidRPr="005B3A03">
        <w:rPr>
          <w:i/>
          <w:iCs/>
          <w:color w:val="156082" w:themeColor="accent1"/>
        </w:rPr>
        <w:t>Dr David Wrigley, Deputy Chair of GPC England and Officer Lead Digital, IT and Data</w:t>
      </w:r>
    </w:p>
    <w:p w14:paraId="38CB8AB4" w14:textId="77777777" w:rsidR="00DB6974" w:rsidRPr="00BC7A92" w:rsidRDefault="00DB6974" w:rsidP="00DB6974">
      <w:pPr>
        <w:rPr>
          <w:b/>
          <w:bCs/>
          <w:sz w:val="28"/>
          <w:szCs w:val="28"/>
        </w:rPr>
      </w:pPr>
      <w:r w:rsidRPr="00BC7A92">
        <w:rPr>
          <w:b/>
          <w:bCs/>
          <w:sz w:val="28"/>
          <w:szCs w:val="28"/>
        </w:rPr>
        <w:t>Overview</w:t>
      </w:r>
    </w:p>
    <w:p w14:paraId="326E82AE" w14:textId="1A7EB0E7" w:rsidR="00DB6974" w:rsidRDefault="00DB6974" w:rsidP="00DB6974">
      <w:r w:rsidRPr="00DB6974">
        <w:t>This document, published by NHS England</w:t>
      </w:r>
      <w:r w:rsidR="00237ADD">
        <w:t xml:space="preserve"> on 27</w:t>
      </w:r>
      <w:r w:rsidR="00044597" w:rsidRPr="00044597">
        <w:rPr>
          <w:vertAlign w:val="superscript"/>
        </w:rPr>
        <w:t>th</w:t>
      </w:r>
      <w:r w:rsidR="00044597">
        <w:t xml:space="preserve"> </w:t>
      </w:r>
      <w:r w:rsidR="00237ADD">
        <w:t>April</w:t>
      </w:r>
      <w:r w:rsidRPr="00DB6974">
        <w:t xml:space="preserve">, provides guidance on the deployment of AI-enabled ambient scribing </w:t>
      </w:r>
      <w:r w:rsidR="00237ADD" w:rsidRPr="00DB6974">
        <w:t>products</w:t>
      </w:r>
      <w:r w:rsidR="00237ADD">
        <w:t xml:space="preserve"> including </w:t>
      </w:r>
      <w:r w:rsidR="00237ADD" w:rsidRPr="00237ADD">
        <w:t>advanced ambient voice technologies (AVTs) used for clinical or patient documentation and workflow support</w:t>
      </w:r>
      <w:r w:rsidR="00237ADD">
        <w:t xml:space="preserve"> </w:t>
      </w:r>
      <w:r w:rsidR="00237ADD" w:rsidRPr="00DB6974">
        <w:t>in</w:t>
      </w:r>
      <w:r w:rsidRPr="00DB6974">
        <w:t xml:space="preserve"> health and care settings. It is </w:t>
      </w:r>
      <w:r w:rsidR="0052419E">
        <w:t xml:space="preserve">of </w:t>
      </w:r>
      <w:r w:rsidRPr="00DB6974">
        <w:t>relevan</w:t>
      </w:r>
      <w:r w:rsidR="0052419E">
        <w:t>ce</w:t>
      </w:r>
      <w:r w:rsidRPr="00DB6974">
        <w:t xml:space="preserve"> to GPs </w:t>
      </w:r>
      <w:r w:rsidR="0052419E">
        <w:t xml:space="preserve">aiming to implement a specific </w:t>
      </w:r>
      <w:r w:rsidR="004323E0">
        <w:t>product</w:t>
      </w:r>
      <w:r w:rsidRPr="00DB6974">
        <w:t>.</w:t>
      </w:r>
      <w:r w:rsidR="00237ADD">
        <w:t xml:space="preserve">  </w:t>
      </w:r>
      <w:r w:rsidR="00237ADD" w:rsidRPr="00237ADD">
        <w:t>This is the first in a series of documents to be published over the next six months. </w:t>
      </w:r>
      <w:r w:rsidR="00237ADD">
        <w:t xml:space="preserve"> An</w:t>
      </w:r>
      <w:r w:rsidR="00237ADD" w:rsidRPr="00237ADD">
        <w:t> </w:t>
      </w:r>
      <w:hyperlink r:id="rId6" w:history="1">
        <w:r w:rsidR="00237ADD" w:rsidRPr="00237ADD">
          <w:rPr>
            <w:rStyle w:val="Hyperlink"/>
          </w:rPr>
          <w:t>AI Ambassadors</w:t>
        </w:r>
      </w:hyperlink>
      <w:r w:rsidR="00237ADD" w:rsidRPr="00237ADD">
        <w:t xml:space="preserve"> network will </w:t>
      </w:r>
      <w:r w:rsidR="00237ADD">
        <w:t xml:space="preserve">be established to </w:t>
      </w:r>
      <w:r w:rsidR="00237ADD" w:rsidRPr="00237ADD">
        <w:t>support</w:t>
      </w:r>
      <w:r w:rsidR="00237ADD">
        <w:t xml:space="preserve"> best practice and sharing of insights.</w:t>
      </w:r>
      <w:r w:rsidR="00237ADD" w:rsidRPr="00237ADD">
        <w:t> </w:t>
      </w:r>
    </w:p>
    <w:p w14:paraId="4C0F658B" w14:textId="77777777" w:rsidR="001E188B" w:rsidRPr="00DB6974" w:rsidRDefault="001E188B" w:rsidP="00DB6974"/>
    <w:p w14:paraId="54980FF9" w14:textId="56243038" w:rsidR="00DB6974" w:rsidRPr="00BC7A92" w:rsidRDefault="00DB6974" w:rsidP="00DB6974">
      <w:pPr>
        <w:rPr>
          <w:b/>
          <w:bCs/>
          <w:sz w:val="28"/>
          <w:szCs w:val="28"/>
        </w:rPr>
      </w:pPr>
      <w:r w:rsidRPr="00BC7A92">
        <w:rPr>
          <w:b/>
          <w:bCs/>
          <w:sz w:val="28"/>
          <w:szCs w:val="28"/>
        </w:rPr>
        <w:t xml:space="preserve">What </w:t>
      </w:r>
      <w:proofErr w:type="gramStart"/>
      <w:r w:rsidR="00584063" w:rsidRPr="00BC7A92">
        <w:rPr>
          <w:b/>
          <w:bCs/>
          <w:sz w:val="28"/>
          <w:szCs w:val="28"/>
        </w:rPr>
        <w:t>are</w:t>
      </w:r>
      <w:proofErr w:type="gramEnd"/>
      <w:r w:rsidR="00584063" w:rsidRPr="00BC7A92">
        <w:rPr>
          <w:b/>
          <w:bCs/>
          <w:sz w:val="28"/>
          <w:szCs w:val="28"/>
        </w:rPr>
        <w:t xml:space="preserve"> </w:t>
      </w:r>
      <w:r w:rsidRPr="00BC7A92">
        <w:rPr>
          <w:b/>
          <w:bCs/>
          <w:sz w:val="28"/>
          <w:szCs w:val="28"/>
        </w:rPr>
        <w:t>AI-enabled Ambient Scribing Products?</w:t>
      </w:r>
    </w:p>
    <w:p w14:paraId="68A9973A" w14:textId="77777777" w:rsidR="00DB6974" w:rsidRPr="00DB6974" w:rsidRDefault="00DB6974" w:rsidP="00DB6974">
      <w:r w:rsidRPr="00DB6974">
        <w:t>These are speech recognition and natural language processing (NLP) systems that:</w:t>
      </w:r>
    </w:p>
    <w:p w14:paraId="4D1B68C2" w14:textId="58F976BB" w:rsidR="00DB6974" w:rsidRPr="00DB6974" w:rsidRDefault="001E188B" w:rsidP="001E188B">
      <w:pPr>
        <w:numPr>
          <w:ilvl w:val="0"/>
          <w:numId w:val="1"/>
        </w:numPr>
      </w:pPr>
      <w:r>
        <w:t>Record</w:t>
      </w:r>
      <w:r w:rsidR="00DB6974" w:rsidRPr="00DB6974">
        <w:t xml:space="preserve"> and transcribe conversations between clinicians and patients during consultations.</w:t>
      </w:r>
    </w:p>
    <w:p w14:paraId="2F8EA867" w14:textId="23090267" w:rsidR="00DB6974" w:rsidRPr="00DB6974" w:rsidRDefault="00DB6974" w:rsidP="001E188B">
      <w:pPr>
        <w:numPr>
          <w:ilvl w:val="0"/>
          <w:numId w:val="1"/>
        </w:numPr>
      </w:pPr>
      <w:r w:rsidRPr="00DB6974">
        <w:t>Use AI algorithms to generate structured clinical notes, such as SNOMED-coded entries.</w:t>
      </w:r>
    </w:p>
    <w:p w14:paraId="0EDF4DAA" w14:textId="6DA92BE8" w:rsidR="00DB6974" w:rsidRDefault="00DB6974" w:rsidP="001E188B">
      <w:pPr>
        <w:numPr>
          <w:ilvl w:val="0"/>
          <w:numId w:val="1"/>
        </w:numPr>
      </w:pPr>
      <w:r w:rsidRPr="00DB6974">
        <w:t xml:space="preserve">Can auto-populate sections of the patient record, </w:t>
      </w:r>
      <w:r w:rsidR="00584063">
        <w:t>with</w:t>
      </w:r>
      <w:r w:rsidRPr="00DB6974">
        <w:t xml:space="preserve"> clinician approval.</w:t>
      </w:r>
    </w:p>
    <w:p w14:paraId="16A4E13C" w14:textId="50157A23" w:rsidR="00584063" w:rsidRPr="00584063" w:rsidRDefault="00584063" w:rsidP="001E188B">
      <w:pPr>
        <w:pStyle w:val="ListParagraph"/>
        <w:numPr>
          <w:ilvl w:val="0"/>
          <w:numId w:val="1"/>
        </w:numPr>
      </w:pPr>
      <w:r>
        <w:t>Can g</w:t>
      </w:r>
      <w:r w:rsidRPr="00584063">
        <w:t>enerate outputs in the form of medical letters or other documentation</w:t>
      </w:r>
      <w:r>
        <w:t>.</w:t>
      </w:r>
    </w:p>
    <w:p w14:paraId="493960C4" w14:textId="3D311998" w:rsidR="00584063" w:rsidRPr="00DB6974" w:rsidRDefault="00584063" w:rsidP="001E188B">
      <w:pPr>
        <w:numPr>
          <w:ilvl w:val="0"/>
          <w:numId w:val="1"/>
        </w:numPr>
      </w:pPr>
      <w:r>
        <w:t xml:space="preserve">Can </w:t>
      </w:r>
      <w:r w:rsidR="001E188B">
        <w:t>recommend</w:t>
      </w:r>
      <w:r>
        <w:t xml:space="preserve"> actions </w:t>
      </w:r>
      <w:r w:rsidR="001E188B">
        <w:t>such as onward referral.</w:t>
      </w:r>
    </w:p>
    <w:p w14:paraId="27B328DC" w14:textId="77FC13CE" w:rsidR="00DB6974" w:rsidRPr="00DB6974" w:rsidRDefault="00DB6974" w:rsidP="00DB6974">
      <w:r w:rsidRPr="00DB6974">
        <w:t xml:space="preserve">Some tools include features </w:t>
      </w:r>
      <w:r w:rsidR="001E188B">
        <w:t>such as</w:t>
      </w:r>
      <w:r w:rsidRPr="00DB6974">
        <w:t>:</w:t>
      </w:r>
    </w:p>
    <w:p w14:paraId="1F3338F2" w14:textId="739FCC07" w:rsidR="00DB6974" w:rsidRPr="00DB6974" w:rsidRDefault="00DB6974" w:rsidP="001E188B">
      <w:pPr>
        <w:numPr>
          <w:ilvl w:val="0"/>
          <w:numId w:val="2"/>
        </w:numPr>
      </w:pPr>
      <w:r w:rsidRPr="00DB6974">
        <w:t>Automatic summari</w:t>
      </w:r>
      <w:r w:rsidR="00584063">
        <w:t>s</w:t>
      </w:r>
      <w:r w:rsidRPr="00DB6974">
        <w:t>ation of discussions</w:t>
      </w:r>
      <w:r w:rsidR="00584063">
        <w:t xml:space="preserve"> based on text transcripts</w:t>
      </w:r>
      <w:r w:rsidRPr="00DB6974">
        <w:t>.</w:t>
      </w:r>
    </w:p>
    <w:p w14:paraId="0B1C5829" w14:textId="77777777" w:rsidR="00DB6974" w:rsidRPr="00DB6974" w:rsidRDefault="00DB6974" w:rsidP="001E188B">
      <w:pPr>
        <w:numPr>
          <w:ilvl w:val="0"/>
          <w:numId w:val="2"/>
        </w:numPr>
      </w:pPr>
      <w:r w:rsidRPr="00DB6974">
        <w:t>Intelligent prompts for missing clinical information.</w:t>
      </w:r>
    </w:p>
    <w:p w14:paraId="0B761B9A" w14:textId="37EAC459" w:rsidR="00DB6974" w:rsidRDefault="00DB6974" w:rsidP="001E188B">
      <w:pPr>
        <w:numPr>
          <w:ilvl w:val="0"/>
          <w:numId w:val="2"/>
        </w:numPr>
      </w:pPr>
      <w:r w:rsidRPr="00DB6974">
        <w:t>Real-time transcription during the consultation.</w:t>
      </w:r>
    </w:p>
    <w:p w14:paraId="69ED7417" w14:textId="77777777" w:rsidR="001E188B" w:rsidRPr="00DB6974" w:rsidRDefault="001E188B" w:rsidP="001E188B">
      <w:pPr>
        <w:ind w:left="720"/>
      </w:pPr>
    </w:p>
    <w:p w14:paraId="4D0D9047" w14:textId="25888F91" w:rsidR="00DB6974" w:rsidRPr="00BC7A92" w:rsidRDefault="001E188B" w:rsidP="00DB6974">
      <w:pPr>
        <w:rPr>
          <w:b/>
          <w:bCs/>
          <w:sz w:val="28"/>
          <w:szCs w:val="28"/>
        </w:rPr>
      </w:pPr>
      <w:r w:rsidRPr="00BC7A92">
        <w:rPr>
          <w:rFonts w:ascii="Segoe UI Emoji" w:hAnsi="Segoe UI Emoji" w:cs="Segoe UI Emoji"/>
          <w:b/>
          <w:bCs/>
          <w:sz w:val="28"/>
          <w:szCs w:val="28"/>
        </w:rPr>
        <w:t>Potential</w:t>
      </w:r>
      <w:r w:rsidR="00DB6974" w:rsidRPr="00BC7A92">
        <w:rPr>
          <w:b/>
          <w:bCs/>
          <w:sz w:val="28"/>
          <w:szCs w:val="28"/>
        </w:rPr>
        <w:t xml:space="preserve"> Benefits for GPs</w:t>
      </w:r>
    </w:p>
    <w:p w14:paraId="1C64C983" w14:textId="7B374213" w:rsidR="00DB6974" w:rsidRPr="00DB6974" w:rsidRDefault="00DB6974" w:rsidP="000B6ECD">
      <w:r w:rsidRPr="00DB6974">
        <w:rPr>
          <w:b/>
          <w:bCs/>
        </w:rPr>
        <w:t xml:space="preserve">Reduced </w:t>
      </w:r>
      <w:r w:rsidR="00E82B9B">
        <w:rPr>
          <w:b/>
          <w:bCs/>
        </w:rPr>
        <w:t>Clinician workload</w:t>
      </w:r>
    </w:p>
    <w:p w14:paraId="619378A2" w14:textId="080406E1" w:rsidR="00DB6974" w:rsidRPr="00DB6974" w:rsidRDefault="00DB6974" w:rsidP="000B6ECD">
      <w:pPr>
        <w:pStyle w:val="ListParagraph"/>
        <w:numPr>
          <w:ilvl w:val="0"/>
          <w:numId w:val="14"/>
        </w:numPr>
      </w:pPr>
      <w:r w:rsidRPr="00DB6974">
        <w:t>Save time otherwise spent on typing or dictation.</w:t>
      </w:r>
    </w:p>
    <w:p w14:paraId="7187DB14" w14:textId="77777777" w:rsidR="00DB6974" w:rsidRPr="00DB6974" w:rsidRDefault="00DB6974" w:rsidP="000B6ECD">
      <w:pPr>
        <w:pStyle w:val="ListParagraph"/>
        <w:numPr>
          <w:ilvl w:val="0"/>
          <w:numId w:val="14"/>
        </w:numPr>
      </w:pPr>
      <w:r w:rsidRPr="00DB6974">
        <w:t>Potential to reduce burnout related to administrative overload.</w:t>
      </w:r>
    </w:p>
    <w:p w14:paraId="03EC949E" w14:textId="77777777" w:rsidR="00DB6974" w:rsidRPr="00DB6974" w:rsidRDefault="00DB6974" w:rsidP="000B6ECD">
      <w:r w:rsidRPr="00DB6974">
        <w:rPr>
          <w:b/>
          <w:bCs/>
        </w:rPr>
        <w:t>Improved Patient Engagement</w:t>
      </w:r>
    </w:p>
    <w:p w14:paraId="260E18BD" w14:textId="2DF97932" w:rsidR="00DB6974" w:rsidRPr="00DB6974" w:rsidRDefault="00FE6C18" w:rsidP="000B6ECD">
      <w:pPr>
        <w:pStyle w:val="ListParagraph"/>
        <w:numPr>
          <w:ilvl w:val="0"/>
          <w:numId w:val="15"/>
        </w:numPr>
      </w:pPr>
      <w:r>
        <w:lastRenderedPageBreak/>
        <w:t>E</w:t>
      </w:r>
      <w:r w:rsidRPr="00FE6C18">
        <w:t>nabl</w:t>
      </w:r>
      <w:r w:rsidR="00A06165">
        <w:t>e</w:t>
      </w:r>
      <w:r w:rsidRPr="00FE6C18">
        <w:t xml:space="preserve"> </w:t>
      </w:r>
      <w:r>
        <w:t>GPs</w:t>
      </w:r>
      <w:r w:rsidRPr="00FE6C18">
        <w:t xml:space="preserve"> to dedicate more time to providing care rather than documenting </w:t>
      </w:r>
      <w:r>
        <w:t xml:space="preserve">it. </w:t>
      </w:r>
    </w:p>
    <w:p w14:paraId="05D7CC00" w14:textId="707EC1FA" w:rsidR="00DB6974" w:rsidRPr="00DB6974" w:rsidRDefault="00DB6974" w:rsidP="000B6ECD">
      <w:pPr>
        <w:pStyle w:val="ListParagraph"/>
        <w:numPr>
          <w:ilvl w:val="0"/>
          <w:numId w:val="15"/>
        </w:numPr>
      </w:pPr>
      <w:r w:rsidRPr="00DB6974">
        <w:t xml:space="preserve">May enhance rapport and </w:t>
      </w:r>
      <w:r w:rsidR="00BB097E">
        <w:t xml:space="preserve">patient </w:t>
      </w:r>
      <w:r w:rsidRPr="00DB6974">
        <w:t>satisfaction</w:t>
      </w:r>
      <w:r w:rsidR="00A06165">
        <w:t xml:space="preserve"> with</w:t>
      </w:r>
      <w:r w:rsidR="00A06165" w:rsidRPr="00A06165">
        <w:t xml:space="preserve"> </w:t>
      </w:r>
      <w:r w:rsidR="0095473A">
        <w:t xml:space="preserve">the </w:t>
      </w:r>
      <w:r w:rsidR="00A06165" w:rsidRPr="00A06165">
        <w:t xml:space="preserve">GP </w:t>
      </w:r>
      <w:r w:rsidR="0095473A">
        <w:t xml:space="preserve">solely </w:t>
      </w:r>
      <w:r w:rsidR="00A06165" w:rsidRPr="00A06165">
        <w:t>focused on the patient not the computer screen</w:t>
      </w:r>
      <w:r w:rsidR="00BB097E">
        <w:t xml:space="preserve"> during consultations</w:t>
      </w:r>
      <w:r w:rsidR="00A06165" w:rsidRPr="00A06165">
        <w:t>.</w:t>
      </w:r>
    </w:p>
    <w:p w14:paraId="42B9DE76" w14:textId="72AB42C8" w:rsidR="00DB6974" w:rsidRPr="00DB6974" w:rsidRDefault="0072157B" w:rsidP="000B6ECD">
      <w:r>
        <w:rPr>
          <w:b/>
          <w:bCs/>
        </w:rPr>
        <w:t xml:space="preserve">Improved </w:t>
      </w:r>
      <w:r w:rsidR="00DB6974" w:rsidRPr="00DB6974">
        <w:rPr>
          <w:b/>
          <w:bCs/>
        </w:rPr>
        <w:t>Consistency and Quality</w:t>
      </w:r>
    </w:p>
    <w:p w14:paraId="6F983320" w14:textId="7025D3B2" w:rsidR="00DB6974" w:rsidRPr="00DB6974" w:rsidRDefault="00DB6974" w:rsidP="000B6ECD">
      <w:pPr>
        <w:pStyle w:val="ListParagraph"/>
        <w:numPr>
          <w:ilvl w:val="0"/>
          <w:numId w:val="16"/>
        </w:numPr>
      </w:pPr>
      <w:r w:rsidRPr="00DB6974">
        <w:t>Potentially more comprehensive and standardised notes</w:t>
      </w:r>
      <w:r w:rsidR="00CF36E5">
        <w:t xml:space="preserve"> improving the quality of the </w:t>
      </w:r>
      <w:r w:rsidR="00C74B0B">
        <w:t>patient record</w:t>
      </w:r>
      <w:r w:rsidR="00727861">
        <w:t xml:space="preserve"> and supporting </w:t>
      </w:r>
      <w:r w:rsidR="000F4704">
        <w:t>clinical decision making</w:t>
      </w:r>
      <w:r w:rsidR="008812CD">
        <w:t xml:space="preserve"> by having up to date</w:t>
      </w:r>
      <w:r w:rsidR="00E33F1F">
        <w:t>,</w:t>
      </w:r>
      <w:r w:rsidR="008812CD">
        <w:t xml:space="preserve"> </w:t>
      </w:r>
      <w:r w:rsidR="002C15D7">
        <w:t xml:space="preserve">detailed, </w:t>
      </w:r>
      <w:r w:rsidR="00403DBD">
        <w:t xml:space="preserve">real-time </w:t>
      </w:r>
      <w:r w:rsidR="008812CD">
        <w:t>accurate records</w:t>
      </w:r>
      <w:r w:rsidRPr="00DB6974">
        <w:t>.</w:t>
      </w:r>
    </w:p>
    <w:p w14:paraId="28167846" w14:textId="77777777" w:rsidR="00086A30" w:rsidRDefault="00DB6974" w:rsidP="000B6ECD">
      <w:pPr>
        <w:pStyle w:val="ListParagraph"/>
        <w:numPr>
          <w:ilvl w:val="0"/>
          <w:numId w:val="16"/>
        </w:numPr>
      </w:pPr>
      <w:r w:rsidRPr="00DB6974">
        <w:t xml:space="preserve">Assists with clinical coding and </w:t>
      </w:r>
      <w:r w:rsidR="002C15D7">
        <w:t>claim</w:t>
      </w:r>
      <w:r w:rsidR="00B933B9">
        <w:t>ing</w:t>
      </w:r>
      <w:r w:rsidR="001A3A72">
        <w:t xml:space="preserve"> for work carried o</w:t>
      </w:r>
      <w:r w:rsidR="00D86928">
        <w:t>ut.</w:t>
      </w:r>
    </w:p>
    <w:p w14:paraId="3CEE3FCC" w14:textId="7C38BF79" w:rsidR="00DB6974" w:rsidRDefault="00D555A2" w:rsidP="000B6ECD">
      <w:pPr>
        <w:pStyle w:val="ListParagraph"/>
        <w:numPr>
          <w:ilvl w:val="0"/>
          <w:numId w:val="16"/>
        </w:numPr>
      </w:pPr>
      <w:r>
        <w:t xml:space="preserve"> Improvements in operational efficiency</w:t>
      </w:r>
      <w:r w:rsidR="00941A98">
        <w:t xml:space="preserve"> and potential cost savings</w:t>
      </w:r>
      <w:r w:rsidR="00455B24">
        <w:t xml:space="preserve"> by reducing administrative workload</w:t>
      </w:r>
      <w:r w:rsidR="00084B05">
        <w:t xml:space="preserve"> and improving data quality</w:t>
      </w:r>
      <w:r w:rsidR="00941A98">
        <w:t>.</w:t>
      </w:r>
    </w:p>
    <w:p w14:paraId="30370E5F" w14:textId="0E59E558" w:rsidR="00E45146" w:rsidRPr="00DB6974" w:rsidRDefault="00086A30" w:rsidP="000B6ECD">
      <w:pPr>
        <w:pStyle w:val="ListParagraph"/>
        <w:numPr>
          <w:ilvl w:val="0"/>
          <w:numId w:val="16"/>
        </w:numPr>
      </w:pPr>
      <w:r>
        <w:t>Intelligently automating</w:t>
      </w:r>
      <w:r w:rsidR="00C94DA7">
        <w:t xml:space="preserve"> workflow, promoting s</w:t>
      </w:r>
      <w:r w:rsidR="00E45146">
        <w:t>calability and interop</w:t>
      </w:r>
      <w:r w:rsidR="00057657">
        <w:t>erability</w:t>
      </w:r>
      <w:r w:rsidR="00C94DA7">
        <w:t xml:space="preserve"> across health care settings</w:t>
      </w:r>
      <w:r w:rsidR="00057657">
        <w:t>.</w:t>
      </w:r>
    </w:p>
    <w:p w14:paraId="1B12419D" w14:textId="2D40C3ED" w:rsidR="00DB6974" w:rsidRPr="00DB6974" w:rsidRDefault="00DB6974" w:rsidP="00DB6974"/>
    <w:p w14:paraId="266BE8F9" w14:textId="420742BB" w:rsidR="00DB6974" w:rsidRPr="00BC7A92" w:rsidRDefault="00DB6974" w:rsidP="00DB6974">
      <w:pPr>
        <w:rPr>
          <w:b/>
          <w:bCs/>
          <w:sz w:val="28"/>
          <w:szCs w:val="28"/>
        </w:rPr>
      </w:pPr>
      <w:r w:rsidRPr="00BC7A92">
        <w:rPr>
          <w:b/>
          <w:bCs/>
          <w:sz w:val="28"/>
          <w:szCs w:val="28"/>
        </w:rPr>
        <w:t xml:space="preserve">Key Governance and Safety </w:t>
      </w:r>
      <w:r w:rsidR="00A353A6" w:rsidRPr="00BC7A92">
        <w:rPr>
          <w:b/>
          <w:bCs/>
          <w:sz w:val="28"/>
          <w:szCs w:val="28"/>
        </w:rPr>
        <w:t>Considerations</w:t>
      </w:r>
    </w:p>
    <w:p w14:paraId="14D55022" w14:textId="0D0E5480" w:rsidR="00DB6974" w:rsidRPr="00DB6974" w:rsidRDefault="00DB6974" w:rsidP="00DB6974">
      <w:pPr>
        <w:rPr>
          <w:b/>
          <w:bCs/>
        </w:rPr>
      </w:pPr>
      <w:r w:rsidRPr="00DB6974">
        <w:rPr>
          <w:b/>
          <w:bCs/>
        </w:rPr>
        <w:t xml:space="preserve">Clinical Responsibility </w:t>
      </w:r>
      <w:r w:rsidR="00BF50D0">
        <w:rPr>
          <w:b/>
          <w:bCs/>
        </w:rPr>
        <w:t xml:space="preserve">and Legal Liability </w:t>
      </w:r>
    </w:p>
    <w:p w14:paraId="35CE3096" w14:textId="6024A421" w:rsidR="007D5649" w:rsidRDefault="007D5649" w:rsidP="001E188B">
      <w:pPr>
        <w:numPr>
          <w:ilvl w:val="0"/>
          <w:numId w:val="4"/>
        </w:numPr>
      </w:pPr>
      <w:r w:rsidRPr="007D5649">
        <w:t xml:space="preserve">NHS organisations </w:t>
      </w:r>
      <w:r w:rsidR="00FA61C4">
        <w:t>(including</w:t>
      </w:r>
      <w:r w:rsidR="00451D2B">
        <w:t xml:space="preserve"> </w:t>
      </w:r>
      <w:r w:rsidR="00CE552A">
        <w:t xml:space="preserve">GP practices) </w:t>
      </w:r>
      <w:r w:rsidRPr="007D5649">
        <w:t xml:space="preserve">may still be liable for any claims arising out of the use of AI products particularly if it concerns a non-delegable duty of care between the practitioner and the patient. </w:t>
      </w:r>
      <w:r w:rsidR="001946E8">
        <w:t>This is</w:t>
      </w:r>
      <w:r w:rsidR="00EF443B">
        <w:t xml:space="preserve"> a </w:t>
      </w:r>
      <w:r w:rsidR="001946E8" w:rsidRPr="001946E8">
        <w:t>complex and largely uncharted</w:t>
      </w:r>
      <w:r w:rsidR="00EF443B">
        <w:t xml:space="preserve"> area</w:t>
      </w:r>
      <w:r w:rsidR="001946E8" w:rsidRPr="001946E8">
        <w:t>, with limited case law to provide clarity</w:t>
      </w:r>
      <w:r w:rsidR="00EF443B">
        <w:t xml:space="preserve">.  </w:t>
      </w:r>
      <w:r w:rsidR="00C42A31">
        <w:t xml:space="preserve">Clear </w:t>
      </w:r>
      <w:r w:rsidRPr="007D5649">
        <w:t xml:space="preserve">and comprehensive contracting arrangements with suppliers setting out their roles, responsibilities and liability </w:t>
      </w:r>
      <w:r w:rsidR="00C42A31">
        <w:t>can mitigate this risk.</w:t>
      </w:r>
      <w:r w:rsidR="001946E8">
        <w:t xml:space="preserve"> </w:t>
      </w:r>
    </w:p>
    <w:p w14:paraId="1C14C868" w14:textId="72D362BC" w:rsidR="00DB6974" w:rsidRDefault="00DB6974" w:rsidP="00FA61C4">
      <w:pPr>
        <w:numPr>
          <w:ilvl w:val="0"/>
          <w:numId w:val="4"/>
        </w:numPr>
      </w:pPr>
      <w:r w:rsidRPr="00DB6974">
        <w:t>Even though AI creates the draft, GPs must validate, correct, and sign off on all content</w:t>
      </w:r>
      <w:r w:rsidR="00BF7B0A">
        <w:t xml:space="preserve"> as the</w:t>
      </w:r>
      <w:r w:rsidRPr="00DB6974">
        <w:t xml:space="preserve"> final output is legally and clinically attributable to the practitioner.</w:t>
      </w:r>
    </w:p>
    <w:p w14:paraId="47D30EC6" w14:textId="688CF57D" w:rsidR="00B828F4" w:rsidRDefault="00850726" w:rsidP="001E188B">
      <w:pPr>
        <w:numPr>
          <w:ilvl w:val="0"/>
          <w:numId w:val="4"/>
        </w:numPr>
      </w:pPr>
      <w:r>
        <w:t xml:space="preserve">Practices must </w:t>
      </w:r>
      <w:r w:rsidR="00B828F4" w:rsidRPr="00B828F4">
        <w:t>complete the DCB0160 documentations (including related safety case, hazard log, and monitoring frameworks) and a Data Protection Impact Assessment (DPIA)</w:t>
      </w:r>
      <w:r w:rsidR="00F72DEB">
        <w:t xml:space="preserve"> and e</w:t>
      </w:r>
      <w:r w:rsidR="00B828F4" w:rsidRPr="00B828F4">
        <w:t xml:space="preserve">nsure </w:t>
      </w:r>
      <w:r w:rsidR="00F72DEB">
        <w:t xml:space="preserve">that </w:t>
      </w:r>
      <w:r w:rsidR="00B828F4" w:rsidRPr="00B828F4">
        <w:t>the supplier has completed the DCB0129</w:t>
      </w:r>
      <w:r>
        <w:t>.</w:t>
      </w:r>
    </w:p>
    <w:p w14:paraId="2EA90865" w14:textId="77777777" w:rsidR="00145E4E" w:rsidRDefault="00BC1F28" w:rsidP="001E188B">
      <w:pPr>
        <w:numPr>
          <w:ilvl w:val="0"/>
          <w:numId w:val="4"/>
        </w:numPr>
      </w:pPr>
      <w:r w:rsidRPr="00BC1F28">
        <w:t> </w:t>
      </w:r>
      <w:r>
        <w:t xml:space="preserve">If a </w:t>
      </w:r>
      <w:r w:rsidR="00E041DB">
        <w:t xml:space="preserve">product is </w:t>
      </w:r>
      <w:r w:rsidRPr="00BC1F28">
        <w:t>register</w:t>
      </w:r>
      <w:r w:rsidR="00E041DB">
        <w:t>ed</w:t>
      </w:r>
      <w:r w:rsidRPr="00BC1F28">
        <w:t xml:space="preserve"> with the MHRA</w:t>
      </w:r>
      <w:r w:rsidR="000F6ADD">
        <w:t>, training for intended users may be necessary to meet safety requirements.</w:t>
      </w:r>
    </w:p>
    <w:p w14:paraId="7CDCE5EE" w14:textId="62DBC143" w:rsidR="00B47857" w:rsidRDefault="00B47857" w:rsidP="001E188B">
      <w:pPr>
        <w:numPr>
          <w:ilvl w:val="0"/>
          <w:numId w:val="4"/>
        </w:numPr>
      </w:pPr>
      <w:r>
        <w:t>The Yellow Card reporting mechanism</w:t>
      </w:r>
      <w:r w:rsidR="00F25BC4">
        <w:t xml:space="preserve"> </w:t>
      </w:r>
      <w:r w:rsidR="00F25BC4" w:rsidRPr="006F2703">
        <w:rPr>
          <w:b/>
          <w:bCs/>
        </w:rPr>
        <w:t>needs to be used every time</w:t>
      </w:r>
      <w:r w:rsidR="00F25BC4">
        <w:t xml:space="preserve"> a</w:t>
      </w:r>
      <w:r w:rsidR="005015CD">
        <w:t xml:space="preserve"> medical device does something unexpected or gets something wrong</w:t>
      </w:r>
      <w:r w:rsidR="00280D86">
        <w:t>.  M</w:t>
      </w:r>
      <w:r w:rsidR="006F2703">
        <w:t>ost AI scribe</w:t>
      </w:r>
      <w:r w:rsidR="00280D86">
        <w:t xml:space="preserve"> products will be classed as medical devices.</w:t>
      </w:r>
    </w:p>
    <w:p w14:paraId="0B67AE82" w14:textId="77777777" w:rsidR="0005079E" w:rsidRDefault="0005079E" w:rsidP="001E188B">
      <w:pPr>
        <w:numPr>
          <w:ilvl w:val="0"/>
          <w:numId w:val="4"/>
        </w:numPr>
      </w:pPr>
      <w:r>
        <w:t>CQC inspection teams will consider if:</w:t>
      </w:r>
    </w:p>
    <w:p w14:paraId="40309751" w14:textId="498E30FF" w:rsidR="00BC1F28" w:rsidRDefault="00433EBA" w:rsidP="0005079E">
      <w:pPr>
        <w:ind w:left="720"/>
      </w:pPr>
      <w:r>
        <w:t>- Technologies</w:t>
      </w:r>
      <w:r w:rsidR="000F6ADD">
        <w:t xml:space="preserve"> </w:t>
      </w:r>
      <w:r>
        <w:t xml:space="preserve">are safely deployed </w:t>
      </w:r>
      <w:r w:rsidR="00B678D7">
        <w:t>(practices need a DPIA)</w:t>
      </w:r>
      <w:r w:rsidR="000F31A8">
        <w:t>.</w:t>
      </w:r>
    </w:p>
    <w:p w14:paraId="5078FE62" w14:textId="6EFA82A5" w:rsidR="00B678D7" w:rsidRDefault="00B678D7" w:rsidP="0005079E">
      <w:pPr>
        <w:ind w:left="720"/>
      </w:pPr>
      <w:r>
        <w:t>-</w:t>
      </w:r>
      <w:r w:rsidR="008650A3">
        <w:t xml:space="preserve"> </w:t>
      </w:r>
      <w:r>
        <w:t>Staff have been trained</w:t>
      </w:r>
      <w:r w:rsidR="000F31A8">
        <w:t>.</w:t>
      </w:r>
    </w:p>
    <w:p w14:paraId="1849BC41" w14:textId="6F8A1392" w:rsidR="008650A3" w:rsidRDefault="008650A3" w:rsidP="0005079E">
      <w:pPr>
        <w:ind w:left="720"/>
      </w:pPr>
      <w:r>
        <w:lastRenderedPageBreak/>
        <w:t xml:space="preserve">- </w:t>
      </w:r>
      <w:r w:rsidR="001507C6">
        <w:t>There are r</w:t>
      </w:r>
      <w:r>
        <w:t>eporting processes for incidents</w:t>
      </w:r>
      <w:r w:rsidR="001507C6">
        <w:t>.</w:t>
      </w:r>
    </w:p>
    <w:p w14:paraId="08400031" w14:textId="41C1353E" w:rsidR="000F31A8" w:rsidRPr="00DB6974" w:rsidRDefault="000F31A8" w:rsidP="0005079E">
      <w:pPr>
        <w:ind w:left="720"/>
      </w:pPr>
      <w:r>
        <w:t xml:space="preserve">- </w:t>
      </w:r>
      <w:r w:rsidR="001507C6">
        <w:t>There is i</w:t>
      </w:r>
      <w:r>
        <w:t>nnovative practice which improve</w:t>
      </w:r>
      <w:r w:rsidR="001507C6">
        <w:t>s</w:t>
      </w:r>
      <w:r>
        <w:t xml:space="preserve"> patient care</w:t>
      </w:r>
      <w:r w:rsidR="001507C6">
        <w:t>.</w:t>
      </w:r>
    </w:p>
    <w:p w14:paraId="6458FA9F" w14:textId="0F39D7E1" w:rsidR="00DB6974" w:rsidRPr="00DB6974" w:rsidRDefault="00DB6974" w:rsidP="00DB6974">
      <w:pPr>
        <w:rPr>
          <w:b/>
          <w:bCs/>
        </w:rPr>
      </w:pPr>
      <w:r w:rsidRPr="00DB6974">
        <w:rPr>
          <w:b/>
          <w:bCs/>
        </w:rPr>
        <w:t>Patient Consent and Information</w:t>
      </w:r>
    </w:p>
    <w:p w14:paraId="4493927C" w14:textId="77777777" w:rsidR="00DB6974" w:rsidRPr="00DB6974" w:rsidRDefault="00DB6974" w:rsidP="001E188B">
      <w:pPr>
        <w:numPr>
          <w:ilvl w:val="0"/>
          <w:numId w:val="5"/>
        </w:numPr>
      </w:pPr>
      <w:r w:rsidRPr="00DB6974">
        <w:t>Consent must be explicit and informed. Key points to explain to patients:</w:t>
      </w:r>
    </w:p>
    <w:p w14:paraId="6C676806" w14:textId="77777777" w:rsidR="00DB6974" w:rsidRPr="00DB6974" w:rsidRDefault="00DB6974" w:rsidP="001E188B">
      <w:pPr>
        <w:numPr>
          <w:ilvl w:val="1"/>
          <w:numId w:val="5"/>
        </w:numPr>
      </w:pPr>
      <w:r w:rsidRPr="00DB6974">
        <w:t>What the AI is recording and why.</w:t>
      </w:r>
    </w:p>
    <w:p w14:paraId="560EAB3C" w14:textId="77777777" w:rsidR="00DB6974" w:rsidRPr="00DB6974" w:rsidRDefault="00DB6974" w:rsidP="001E188B">
      <w:pPr>
        <w:numPr>
          <w:ilvl w:val="1"/>
          <w:numId w:val="5"/>
        </w:numPr>
      </w:pPr>
      <w:r w:rsidRPr="00DB6974">
        <w:t>How their data is stored and for how long.</w:t>
      </w:r>
    </w:p>
    <w:p w14:paraId="0BCBFCC9" w14:textId="77777777" w:rsidR="00DB6974" w:rsidRPr="00DB6974" w:rsidRDefault="00DB6974" w:rsidP="001E188B">
      <w:pPr>
        <w:numPr>
          <w:ilvl w:val="1"/>
          <w:numId w:val="5"/>
        </w:numPr>
      </w:pPr>
      <w:r w:rsidRPr="00DB6974">
        <w:t>Their right to refuse recording or withdraw consent.</w:t>
      </w:r>
    </w:p>
    <w:p w14:paraId="2BAD5249" w14:textId="4A1FC150" w:rsidR="00DB6974" w:rsidRDefault="00DB6974" w:rsidP="001E188B">
      <w:pPr>
        <w:numPr>
          <w:ilvl w:val="0"/>
          <w:numId w:val="5"/>
        </w:numPr>
      </w:pPr>
      <w:r w:rsidRPr="00DB6974">
        <w:t>Consider using visual signage or digital consent forms.</w:t>
      </w:r>
      <w:r w:rsidR="007D3E3B">
        <w:t xml:space="preserve"> Make information </w:t>
      </w:r>
      <w:r w:rsidR="007D3E3B" w:rsidRPr="007D3E3B">
        <w:t>available to patients in public areas</w:t>
      </w:r>
      <w:r w:rsidR="007D3E3B">
        <w:t xml:space="preserve">, </w:t>
      </w:r>
      <w:r w:rsidR="007D3E3B" w:rsidRPr="007D3E3B">
        <w:t xml:space="preserve">on </w:t>
      </w:r>
      <w:r w:rsidR="007D3E3B">
        <w:t xml:space="preserve">practice </w:t>
      </w:r>
      <w:r w:rsidR="007D3E3B" w:rsidRPr="007D3E3B">
        <w:t>website</w:t>
      </w:r>
      <w:r w:rsidR="007D3E3B">
        <w:t>s</w:t>
      </w:r>
      <w:r w:rsidR="007D3E3B" w:rsidRPr="007D3E3B">
        <w:t xml:space="preserve"> and social media channels</w:t>
      </w:r>
      <w:r w:rsidR="007D3E3B">
        <w:t>.</w:t>
      </w:r>
    </w:p>
    <w:p w14:paraId="6E73396D" w14:textId="48066807" w:rsidR="003D6FBE" w:rsidRPr="00DB6974" w:rsidRDefault="00183931" w:rsidP="001E188B">
      <w:pPr>
        <w:numPr>
          <w:ilvl w:val="0"/>
          <w:numId w:val="5"/>
        </w:numPr>
      </w:pPr>
      <w:r>
        <w:t>Notes and recordings may need to be disclosed to the patient in case of a SAR</w:t>
      </w:r>
      <w:r w:rsidR="002734EA">
        <w:t xml:space="preserve">. What the AI scribe records may diverge from what was </w:t>
      </w:r>
      <w:proofErr w:type="gramStart"/>
      <w:r w:rsidR="002734EA">
        <w:t>actually said</w:t>
      </w:r>
      <w:proofErr w:type="gramEnd"/>
      <w:r w:rsidR="002734EA">
        <w:t xml:space="preserve"> by the GP/ healthcare professional</w:t>
      </w:r>
      <w:r w:rsidR="007E587C">
        <w:t xml:space="preserve">. At the current time, it is unclear </w:t>
      </w:r>
      <w:r w:rsidR="000149D1">
        <w:t xml:space="preserve">who will be responsible for what if full records are not maintained. </w:t>
      </w:r>
      <w:r w:rsidR="0005169B" w:rsidRPr="0005169B">
        <w:t>The practice should familiarise itself with the document retention policy, privacy notices and DPNs of the potential providers.</w:t>
      </w:r>
      <w:r w:rsidR="000149D1">
        <w:t xml:space="preserve"> </w:t>
      </w:r>
    </w:p>
    <w:p w14:paraId="333A74E4" w14:textId="2C97A17C" w:rsidR="00DB6974" w:rsidRPr="00DB6974" w:rsidRDefault="00DB6974" w:rsidP="00DB6974">
      <w:pPr>
        <w:rPr>
          <w:b/>
          <w:bCs/>
        </w:rPr>
      </w:pPr>
      <w:r w:rsidRPr="00DB6974">
        <w:rPr>
          <w:b/>
          <w:bCs/>
        </w:rPr>
        <w:t>Data Protection (UK GDPR) Compliance</w:t>
      </w:r>
    </w:p>
    <w:p w14:paraId="64A31569" w14:textId="28251390" w:rsidR="00DB6974" w:rsidRPr="00DB6974" w:rsidRDefault="00357079" w:rsidP="00201707">
      <w:pPr>
        <w:numPr>
          <w:ilvl w:val="0"/>
          <w:numId w:val="6"/>
        </w:numPr>
      </w:pPr>
      <w:r>
        <w:t xml:space="preserve">Engage with information governance and cybersecurity support early to ensure legal and regulatory </w:t>
      </w:r>
      <w:r w:rsidR="00201707">
        <w:t>requirements are met.  S</w:t>
      </w:r>
      <w:r w:rsidR="001C7AD6" w:rsidRPr="001C7AD6">
        <w:t xml:space="preserve">eek help from your local ICB </w:t>
      </w:r>
      <w:r w:rsidR="001C7AD6">
        <w:t>to e</w:t>
      </w:r>
      <w:r w:rsidR="00DB6974" w:rsidRPr="00DB6974">
        <w:t>nsure tools are compliant with:</w:t>
      </w:r>
    </w:p>
    <w:p w14:paraId="5F793B07" w14:textId="77777777" w:rsidR="00DB6974" w:rsidRPr="00DB6974" w:rsidRDefault="00DB6974" w:rsidP="001E188B">
      <w:pPr>
        <w:numPr>
          <w:ilvl w:val="1"/>
          <w:numId w:val="6"/>
        </w:numPr>
      </w:pPr>
      <w:r w:rsidRPr="00DB6974">
        <w:t>UK GDPR and Data Protection Act 2018.</w:t>
      </w:r>
    </w:p>
    <w:p w14:paraId="48DA6C3C" w14:textId="7D19D002" w:rsidR="00DB6974" w:rsidRPr="00DB6974" w:rsidRDefault="00DB6974" w:rsidP="001E188B">
      <w:pPr>
        <w:numPr>
          <w:ilvl w:val="1"/>
          <w:numId w:val="6"/>
        </w:numPr>
      </w:pPr>
      <w:r w:rsidRPr="00DB6974">
        <w:t>NHS Data Security and Protection Toolkit</w:t>
      </w:r>
      <w:r w:rsidR="002B3B3C">
        <w:t xml:space="preserve">, </w:t>
      </w:r>
      <w:r w:rsidR="00397954">
        <w:t xml:space="preserve">CREST and </w:t>
      </w:r>
      <w:r w:rsidR="00556E57" w:rsidRPr="00556E57">
        <w:t>Cyber Essentials Plus certification</w:t>
      </w:r>
      <w:r w:rsidR="00BF7DE9">
        <w:t>.</w:t>
      </w:r>
    </w:p>
    <w:p w14:paraId="7E771AD3" w14:textId="77777777" w:rsidR="00DB6974" w:rsidRPr="00DB6974" w:rsidRDefault="00DB6974" w:rsidP="00DF5537">
      <w:pPr>
        <w:pStyle w:val="ListParagraph"/>
        <w:numPr>
          <w:ilvl w:val="0"/>
          <w:numId w:val="6"/>
        </w:numPr>
      </w:pPr>
      <w:r w:rsidRPr="00DB6974">
        <w:t>Use the least amount of data necessary to deliver the function.</w:t>
      </w:r>
    </w:p>
    <w:p w14:paraId="3A4D1979" w14:textId="019B57EB" w:rsidR="00DB6974" w:rsidRDefault="00135766" w:rsidP="001E188B">
      <w:pPr>
        <w:numPr>
          <w:ilvl w:val="0"/>
          <w:numId w:val="6"/>
        </w:numPr>
      </w:pPr>
      <w:r>
        <w:t>Be transparent</w:t>
      </w:r>
      <w:r w:rsidR="00BF7DE9">
        <w:t xml:space="preserve"> </w:t>
      </w:r>
      <w:r w:rsidR="004376FA">
        <w:t xml:space="preserve">around how information is used and shared in relation to ambient scribing products </w:t>
      </w:r>
      <w:r w:rsidR="004471C8">
        <w:t xml:space="preserve">including </w:t>
      </w:r>
      <w:r w:rsidR="000C1FCC">
        <w:t>d</w:t>
      </w:r>
      <w:r w:rsidR="00DB6974" w:rsidRPr="00DB6974">
        <w:t>ata storage, encryption, and retention</w:t>
      </w:r>
      <w:r w:rsidR="00973BB3">
        <w:t>.</w:t>
      </w:r>
    </w:p>
    <w:p w14:paraId="56BD0100" w14:textId="56DCD75C" w:rsidR="00D729F2" w:rsidRDefault="00D729F2" w:rsidP="001E188B">
      <w:pPr>
        <w:numPr>
          <w:ilvl w:val="0"/>
          <w:numId w:val="6"/>
        </w:numPr>
      </w:pPr>
      <w:r w:rsidRPr="00D729F2">
        <w:t>NHS England has developed </w:t>
      </w:r>
      <w:hyperlink r:id="rId7" w:anchor="ig_professional" w:history="1">
        <w:r w:rsidRPr="00D729F2">
          <w:rPr>
            <w:rStyle w:val="Hyperlink"/>
          </w:rPr>
          <w:t>guidance for IG professionals</w:t>
        </w:r>
      </w:hyperlink>
      <w:r w:rsidRPr="00D729F2">
        <w:t> to assist with meeting the requirements of data protection legislation when implementing AI-enabled technologies</w:t>
      </w:r>
      <w:r>
        <w:t xml:space="preserve">. </w:t>
      </w:r>
      <w:r w:rsidRPr="00D729F2">
        <w:t xml:space="preserve">Further guidance </w:t>
      </w:r>
      <w:r>
        <w:t xml:space="preserve">will </w:t>
      </w:r>
      <w:r w:rsidRPr="00D729F2">
        <w:t>be released in 2025. </w:t>
      </w:r>
    </w:p>
    <w:p w14:paraId="076225FA" w14:textId="014E1606" w:rsidR="00433051" w:rsidRPr="00DB6974" w:rsidRDefault="00433051" w:rsidP="001E188B">
      <w:pPr>
        <w:numPr>
          <w:ilvl w:val="0"/>
          <w:numId w:val="6"/>
        </w:numPr>
      </w:pPr>
      <w:r>
        <w:t>T</w:t>
      </w:r>
      <w:r w:rsidRPr="00433051">
        <w:t>he I</w:t>
      </w:r>
      <w:r>
        <w:t>CO</w:t>
      </w:r>
      <w:r w:rsidRPr="00433051">
        <w:t xml:space="preserve"> provides guidance for data protection and compliance with UK GDPR for those adopting AI technologies, and specific guidance on using Generative AI that processes personal data</w:t>
      </w:r>
      <w:r>
        <w:t>.</w:t>
      </w:r>
    </w:p>
    <w:p w14:paraId="3AD70482" w14:textId="0F28EE28" w:rsidR="00DB6974" w:rsidRPr="00DB6974" w:rsidRDefault="00DB6974" w:rsidP="00DB6974">
      <w:pPr>
        <w:rPr>
          <w:b/>
          <w:bCs/>
        </w:rPr>
      </w:pPr>
      <w:r w:rsidRPr="00DB6974">
        <w:rPr>
          <w:b/>
          <w:bCs/>
        </w:rPr>
        <w:t>Digital Technology Assessment Criteria (DTAC)</w:t>
      </w:r>
    </w:p>
    <w:p w14:paraId="0F9727F4" w14:textId="527ADD04" w:rsidR="00506E24" w:rsidRDefault="00506E24" w:rsidP="00DB6974">
      <w:r>
        <w:lastRenderedPageBreak/>
        <w:t>T</w:t>
      </w:r>
      <w:r w:rsidRPr="00506E24">
        <w:t xml:space="preserve">he use of Generative AI for further processing, such as summarisation would </w:t>
      </w:r>
      <w:r w:rsidR="001C7EBE">
        <w:t xml:space="preserve">likely </w:t>
      </w:r>
      <w:r w:rsidRPr="00506E24">
        <w:t>qualify as a medical device</w:t>
      </w:r>
      <w:r w:rsidR="009F3B22">
        <w:t xml:space="preserve"> </w:t>
      </w:r>
      <w:r w:rsidR="00FD5073">
        <w:t>(requiring</w:t>
      </w:r>
      <w:r w:rsidR="009F3B22">
        <w:t xml:space="preserve"> it to be </w:t>
      </w:r>
      <w:r w:rsidR="00056F16">
        <w:t>registered with MHRA</w:t>
      </w:r>
      <w:r w:rsidR="00FD5073">
        <w:t>)</w:t>
      </w:r>
      <w:r w:rsidR="001211D2">
        <w:t>.</w:t>
      </w:r>
      <w:r w:rsidR="007126C5">
        <w:t xml:space="preserve"> </w:t>
      </w:r>
      <w:r w:rsidR="00C709B4" w:rsidRPr="00C709B4">
        <w:t>A product is a medical device if its intended purpose falls under the definition of a medical device, for example if it informs or drives medical decisions and care.</w:t>
      </w:r>
      <w:r w:rsidR="00C332FA" w:rsidRPr="00C332FA">
        <w:t> </w:t>
      </w:r>
      <w:r w:rsidR="007126C5">
        <w:t xml:space="preserve"> </w:t>
      </w:r>
      <w:r w:rsidR="001C7EBE" w:rsidRPr="001C7EBE">
        <w:t>This includes incorporating a diagnosis or prognosis within its outputs, triaging and stratifying, or carrying a prescriptive function like managing or recommending treatments.</w:t>
      </w:r>
      <w:r w:rsidR="001C7EBE">
        <w:t xml:space="preserve"> </w:t>
      </w:r>
      <w:r w:rsidR="00026200">
        <w:t>P</w:t>
      </w:r>
      <w:r w:rsidR="007126C5" w:rsidRPr="007126C5">
        <w:t>roducts that solely generate text transcriptions</w:t>
      </w:r>
      <w:r w:rsidR="00026200">
        <w:t xml:space="preserve"> are not likely to be classed as medical devices</w:t>
      </w:r>
      <w:r w:rsidR="00196517">
        <w:t>.</w:t>
      </w:r>
    </w:p>
    <w:p w14:paraId="65D4C8FD" w14:textId="1A73E496" w:rsidR="00DB6974" w:rsidRPr="00DB6974" w:rsidRDefault="00DB6974" w:rsidP="00DB6974">
      <w:r w:rsidRPr="00DB6974">
        <w:t>Ambient scribing tools must meet DTAC standards</w:t>
      </w:r>
      <w:r w:rsidR="002C3E1E">
        <w:t xml:space="preserve"> for </w:t>
      </w:r>
      <w:r w:rsidR="002C3E1E" w:rsidRPr="002C3E1E">
        <w:t>medical device regulation</w:t>
      </w:r>
      <w:r w:rsidRPr="00DB6974">
        <w:t>, including:</w:t>
      </w:r>
    </w:p>
    <w:p w14:paraId="2F2F82FA" w14:textId="77777777" w:rsidR="00DB6974" w:rsidRPr="00DB6974" w:rsidRDefault="00DB6974" w:rsidP="001E188B">
      <w:pPr>
        <w:numPr>
          <w:ilvl w:val="0"/>
          <w:numId w:val="7"/>
        </w:numPr>
      </w:pPr>
      <w:r w:rsidRPr="00DB6974">
        <w:t>Clinical safety (compliant with DCB0129/0160).</w:t>
      </w:r>
    </w:p>
    <w:p w14:paraId="4CC08E55" w14:textId="77777777" w:rsidR="00DB6974" w:rsidRPr="00DB6974" w:rsidRDefault="00DB6974" w:rsidP="001E188B">
      <w:pPr>
        <w:numPr>
          <w:ilvl w:val="0"/>
          <w:numId w:val="7"/>
        </w:numPr>
      </w:pPr>
      <w:r w:rsidRPr="00DB6974">
        <w:t>Technical security.</w:t>
      </w:r>
    </w:p>
    <w:p w14:paraId="122120BC" w14:textId="77777777" w:rsidR="00DB6974" w:rsidRPr="00DB6974" w:rsidRDefault="00DB6974" w:rsidP="001E188B">
      <w:pPr>
        <w:numPr>
          <w:ilvl w:val="0"/>
          <w:numId w:val="7"/>
        </w:numPr>
      </w:pPr>
      <w:r w:rsidRPr="00DB6974">
        <w:t xml:space="preserve">Interoperability with existing systems (e.g., EMIS, </w:t>
      </w:r>
      <w:proofErr w:type="spellStart"/>
      <w:r w:rsidRPr="00DB6974">
        <w:t>SystmOne</w:t>
      </w:r>
      <w:proofErr w:type="spellEnd"/>
      <w:r w:rsidRPr="00DB6974">
        <w:t>).</w:t>
      </w:r>
    </w:p>
    <w:p w14:paraId="1BF17536" w14:textId="77777777" w:rsidR="00DB6974" w:rsidRPr="00DB6974" w:rsidRDefault="00DB6974" w:rsidP="001E188B">
      <w:pPr>
        <w:numPr>
          <w:ilvl w:val="0"/>
          <w:numId w:val="7"/>
        </w:numPr>
      </w:pPr>
      <w:r w:rsidRPr="00DB6974">
        <w:t>Accessibility and usability.</w:t>
      </w:r>
    </w:p>
    <w:p w14:paraId="192A52D7" w14:textId="5ED418BF" w:rsidR="00DB6974" w:rsidRPr="00DB6974" w:rsidRDefault="00DB6974" w:rsidP="00DB6974">
      <w:pPr>
        <w:rPr>
          <w:b/>
          <w:bCs/>
        </w:rPr>
      </w:pPr>
      <w:r w:rsidRPr="00DB6974">
        <w:rPr>
          <w:b/>
          <w:bCs/>
        </w:rPr>
        <w:t>Bias and Inaccuracy Risks</w:t>
      </w:r>
    </w:p>
    <w:p w14:paraId="07B8BAC1" w14:textId="2349E501" w:rsidR="00DB6974" w:rsidRPr="00DB6974" w:rsidRDefault="00DB6974" w:rsidP="001E188B">
      <w:pPr>
        <w:numPr>
          <w:ilvl w:val="0"/>
          <w:numId w:val="8"/>
        </w:numPr>
      </w:pPr>
      <w:r w:rsidRPr="00DB6974">
        <w:t>AI tools may generate inaccurate or fabricated content.</w:t>
      </w:r>
    </w:p>
    <w:p w14:paraId="54E13DE0" w14:textId="5F3D7396" w:rsidR="00DB6974" w:rsidRDefault="00DB6974" w:rsidP="001E188B">
      <w:pPr>
        <w:numPr>
          <w:ilvl w:val="0"/>
          <w:numId w:val="8"/>
        </w:numPr>
      </w:pPr>
      <w:r w:rsidRPr="00DB6974">
        <w:t>Risk of embedded algorithmic bias (e.g., misinterpretation of accents</w:t>
      </w:r>
      <w:r w:rsidR="00C867F4">
        <w:t xml:space="preserve"> or clinical context</w:t>
      </w:r>
      <w:r w:rsidR="00F76613">
        <w:t xml:space="preserve"> </w:t>
      </w:r>
      <w:r w:rsidR="000A1288">
        <w:t xml:space="preserve">such as </w:t>
      </w:r>
      <w:r w:rsidR="00F76613">
        <w:t>mistaking a patient’s hypothetical statement for a confirmed diagnosis</w:t>
      </w:r>
      <w:r w:rsidR="000A1288">
        <w:t xml:space="preserve">, </w:t>
      </w:r>
      <w:r w:rsidRPr="00DB6974">
        <w:t>misgendering</w:t>
      </w:r>
      <w:r w:rsidR="008C79C9">
        <w:t xml:space="preserve">, gaps in documentation </w:t>
      </w:r>
      <w:r w:rsidR="00C00070">
        <w:t>leading to compromised care</w:t>
      </w:r>
      <w:r w:rsidRPr="00DB6974">
        <w:t>).</w:t>
      </w:r>
    </w:p>
    <w:p w14:paraId="5895D1A5" w14:textId="4370747C" w:rsidR="007851BF" w:rsidRPr="00DB6974" w:rsidRDefault="00DE09E1" w:rsidP="001E188B">
      <w:pPr>
        <w:numPr>
          <w:ilvl w:val="0"/>
          <w:numId w:val="8"/>
        </w:numPr>
      </w:pPr>
      <w:r>
        <w:t>P</w:t>
      </w:r>
      <w:r w:rsidR="007851BF" w:rsidRPr="007851BF">
        <w:t>roducts that use Generative AI can introduce unique cybersecurity challenges</w:t>
      </w:r>
      <w:r w:rsidR="00184D1B">
        <w:t>.</w:t>
      </w:r>
    </w:p>
    <w:p w14:paraId="600FAA51" w14:textId="08ABA338" w:rsidR="00DB6974" w:rsidRDefault="00DB6974" w:rsidP="001E188B">
      <w:pPr>
        <w:numPr>
          <w:ilvl w:val="0"/>
          <w:numId w:val="8"/>
        </w:numPr>
      </w:pPr>
      <w:r w:rsidRPr="00DB6974">
        <w:t>Clinical staff must identify and correct errors before notes are committed to record.</w:t>
      </w:r>
    </w:p>
    <w:p w14:paraId="5405CD80" w14:textId="0DE2FE4A" w:rsidR="00DB6974" w:rsidRDefault="008A4E01" w:rsidP="00DB6974">
      <w:pPr>
        <w:numPr>
          <w:ilvl w:val="0"/>
          <w:numId w:val="8"/>
        </w:numPr>
      </w:pPr>
      <w:r>
        <w:t xml:space="preserve">Ensure </w:t>
      </w:r>
      <w:r w:rsidRPr="008A4E01">
        <w:t>ongoing quality assurance and monitoring</w:t>
      </w:r>
      <w:r w:rsidR="00F4324B">
        <w:t xml:space="preserve"> </w:t>
      </w:r>
      <w:r w:rsidR="0075784E">
        <w:t>such as</w:t>
      </w:r>
      <w:r w:rsidR="00F4324B">
        <w:t xml:space="preserve"> </w:t>
      </w:r>
      <w:r w:rsidR="00F4324B" w:rsidRPr="00F4324B">
        <w:t>error reporting processes, service usage monitoring, and comparison between reported and observed metrics</w:t>
      </w:r>
      <w:r w:rsidR="0075784E">
        <w:t>.</w:t>
      </w:r>
    </w:p>
    <w:p w14:paraId="7CBC0596" w14:textId="77777777" w:rsidR="001B731C" w:rsidRPr="001B731C" w:rsidRDefault="001B731C" w:rsidP="001B731C">
      <w:pPr>
        <w:ind w:left="720"/>
      </w:pPr>
    </w:p>
    <w:p w14:paraId="7DA98CCD" w14:textId="19CF580E" w:rsidR="00DB6974" w:rsidRPr="00BC7A92" w:rsidRDefault="00D97B8B" w:rsidP="00DB6974">
      <w:pPr>
        <w:rPr>
          <w:b/>
          <w:bCs/>
          <w:sz w:val="28"/>
          <w:szCs w:val="28"/>
        </w:rPr>
      </w:pPr>
      <w:r w:rsidRPr="00BC7A92">
        <w:rPr>
          <w:rFonts w:ascii="Segoe UI Emoji" w:hAnsi="Segoe UI Emoji" w:cs="Segoe UI Emoji"/>
          <w:b/>
          <w:bCs/>
          <w:sz w:val="28"/>
          <w:szCs w:val="28"/>
        </w:rPr>
        <w:t xml:space="preserve">Quick </w:t>
      </w:r>
      <w:r w:rsidR="00DB6974" w:rsidRPr="00BC7A92">
        <w:rPr>
          <w:b/>
          <w:bCs/>
          <w:sz w:val="28"/>
          <w:szCs w:val="28"/>
        </w:rPr>
        <w:t>Implementation</w:t>
      </w:r>
      <w:r w:rsidRPr="00BC7A92">
        <w:rPr>
          <w:b/>
          <w:bCs/>
          <w:sz w:val="28"/>
          <w:szCs w:val="28"/>
        </w:rPr>
        <w:t xml:space="preserve"> Guide</w:t>
      </w:r>
    </w:p>
    <w:p w14:paraId="2E13BC78" w14:textId="61D907D2" w:rsidR="00B66EFA" w:rsidRPr="00916B06" w:rsidRDefault="00916B06" w:rsidP="00916B06">
      <w:pPr>
        <w:rPr>
          <w:b/>
          <w:bCs/>
        </w:rPr>
      </w:pPr>
      <w:r>
        <w:rPr>
          <w:b/>
          <w:bCs/>
        </w:rPr>
        <w:t xml:space="preserve">1. </w:t>
      </w:r>
      <w:r w:rsidR="00B66EFA" w:rsidRPr="00916B06">
        <w:rPr>
          <w:b/>
          <w:bCs/>
        </w:rPr>
        <w:t>Assign a Clinical Safety Officer and identify key risks</w:t>
      </w:r>
    </w:p>
    <w:p w14:paraId="3726B492" w14:textId="7A717189" w:rsidR="0003018C" w:rsidRDefault="0060460B" w:rsidP="0060460B">
      <w:pPr>
        <w:pStyle w:val="ListParagraph"/>
      </w:pPr>
      <w:r>
        <w:t xml:space="preserve">- </w:t>
      </w:r>
      <w:r w:rsidR="00DE2E9F" w:rsidRPr="00DE2E9F">
        <w:t xml:space="preserve">Consider technical </w:t>
      </w:r>
      <w:r w:rsidR="00060F39" w:rsidRPr="00DE2E9F">
        <w:t xml:space="preserve">risks </w:t>
      </w:r>
      <w:r w:rsidR="00EF5DAA">
        <w:t>(</w:t>
      </w:r>
      <w:r w:rsidR="00515938">
        <w:t xml:space="preserve">e.g. </w:t>
      </w:r>
      <w:r w:rsidR="00EF5DAA">
        <w:t>output</w:t>
      </w:r>
      <w:r w:rsidR="005D7D6F">
        <w:t xml:space="preserve"> errors, system unavailability)</w:t>
      </w:r>
      <w:r w:rsidR="00060F39">
        <w:t xml:space="preserve"> </w:t>
      </w:r>
      <w:r w:rsidR="00DE2E9F" w:rsidRPr="00DE2E9F">
        <w:t>and clinical hazards</w:t>
      </w:r>
      <w:r w:rsidR="005D7D6F">
        <w:t xml:space="preserve"> (</w:t>
      </w:r>
      <w:r w:rsidR="00515938">
        <w:t xml:space="preserve">e.g. </w:t>
      </w:r>
      <w:r w:rsidR="005D7D6F">
        <w:t xml:space="preserve">incorrect context or </w:t>
      </w:r>
      <w:r w:rsidR="00CE6D34">
        <w:t xml:space="preserve">information). </w:t>
      </w:r>
    </w:p>
    <w:p w14:paraId="4006BF76" w14:textId="0CD65C4C" w:rsidR="00CE6D34" w:rsidRDefault="0060460B" w:rsidP="0060460B">
      <w:pPr>
        <w:pStyle w:val="ListParagraph"/>
      </w:pPr>
      <w:r>
        <w:t xml:space="preserve">- </w:t>
      </w:r>
      <w:r w:rsidR="00CE6D34">
        <w:t xml:space="preserve">Be </w:t>
      </w:r>
      <w:r w:rsidR="00916B06">
        <w:t xml:space="preserve">aware that </w:t>
      </w:r>
      <w:r w:rsidR="00CE6D34">
        <w:t xml:space="preserve">new </w:t>
      </w:r>
      <w:r w:rsidR="00060F39">
        <w:t>functions may be introduced unintentionally or through user-provided instructions.</w:t>
      </w:r>
    </w:p>
    <w:p w14:paraId="2D272635" w14:textId="31609C4D" w:rsidR="00B03B16" w:rsidRPr="00B03B16" w:rsidRDefault="00B03B16" w:rsidP="00B03B16">
      <w:pPr>
        <w:pStyle w:val="ListParagraph"/>
      </w:pPr>
      <w:r>
        <w:t xml:space="preserve">- </w:t>
      </w:r>
      <w:r w:rsidRPr="00B03B16">
        <w:t>An Appendix to the guidance</w:t>
      </w:r>
      <w:r w:rsidR="00191F86">
        <w:t xml:space="preserve"> </w:t>
      </w:r>
      <w:r w:rsidRPr="00B03B16">
        <w:t>provid</w:t>
      </w:r>
      <w:r w:rsidR="00191F86">
        <w:t>es</w:t>
      </w:r>
      <w:r w:rsidRPr="00B03B16">
        <w:t xml:space="preserve"> actions for technical and product teams leading AI adoption.  A series of detailed questions are </w:t>
      </w:r>
      <w:r w:rsidR="00191F86">
        <w:t>offered</w:t>
      </w:r>
      <w:r w:rsidRPr="00B03B16">
        <w:t xml:space="preserve"> to aid in clarifying </w:t>
      </w:r>
      <w:r w:rsidRPr="00B03B16">
        <w:lastRenderedPageBreak/>
        <w:t>the specific features and functionalities of ambient scribing products.  The answers should be sought from the supplier</w:t>
      </w:r>
      <w:r w:rsidR="005710E1">
        <w:t>,</w:t>
      </w:r>
      <w:r w:rsidRPr="00B03B16">
        <w:t xml:space="preserve"> technical experts, clinical safety, IG and IT teams before implementation.</w:t>
      </w:r>
    </w:p>
    <w:p w14:paraId="79B2CD99" w14:textId="51F19A4A" w:rsidR="00B03B16" w:rsidRDefault="00B03B16" w:rsidP="0060460B">
      <w:pPr>
        <w:pStyle w:val="ListParagraph"/>
      </w:pPr>
    </w:p>
    <w:p w14:paraId="7DD60829" w14:textId="5E0DEA64" w:rsidR="00916B06" w:rsidRDefault="00916B06" w:rsidP="00916B06">
      <w:pPr>
        <w:rPr>
          <w:b/>
          <w:bCs/>
        </w:rPr>
      </w:pPr>
      <w:r>
        <w:rPr>
          <w:b/>
          <w:bCs/>
        </w:rPr>
        <w:t xml:space="preserve">2. </w:t>
      </w:r>
      <w:r w:rsidRPr="00916B06">
        <w:rPr>
          <w:b/>
          <w:bCs/>
        </w:rPr>
        <w:t>Complete the DCB0160 documentation and a Data Protection Impact Assessment (DPIA)</w:t>
      </w:r>
    </w:p>
    <w:p w14:paraId="65F84534" w14:textId="65BCDC8F" w:rsidR="00212C79" w:rsidRDefault="00212C79" w:rsidP="00212C79">
      <w:pPr>
        <w:ind w:left="720"/>
        <w:rPr>
          <w:b/>
          <w:bCs/>
        </w:rPr>
      </w:pPr>
      <w:r>
        <w:rPr>
          <w:b/>
          <w:bCs/>
        </w:rPr>
        <w:t xml:space="preserve">-  </w:t>
      </w:r>
      <w:r>
        <w:t>D</w:t>
      </w:r>
      <w:r w:rsidRPr="00212C79">
        <w:t xml:space="preserve">evelop a safety case, hazard log, and monitoring framework. If you do not have the right tools and capabilities to comply with these standards you </w:t>
      </w:r>
      <w:r w:rsidR="00ED79A8">
        <w:t xml:space="preserve">should </w:t>
      </w:r>
      <w:r w:rsidRPr="0060460B">
        <w:t>seek help from your local ICB.</w:t>
      </w:r>
    </w:p>
    <w:p w14:paraId="633AFFCA" w14:textId="77777777" w:rsidR="00277133" w:rsidRPr="00277133" w:rsidRDefault="00277133" w:rsidP="00277133">
      <w:pPr>
        <w:rPr>
          <w:b/>
          <w:bCs/>
        </w:rPr>
      </w:pPr>
      <w:r>
        <w:rPr>
          <w:b/>
          <w:bCs/>
        </w:rPr>
        <w:t xml:space="preserve">3. </w:t>
      </w:r>
      <w:r w:rsidRPr="00277133">
        <w:rPr>
          <w:b/>
          <w:bCs/>
        </w:rPr>
        <w:t>Plan for appropriate integration</w:t>
      </w:r>
    </w:p>
    <w:p w14:paraId="4A3B77A3" w14:textId="632C79B5" w:rsidR="00277133" w:rsidRDefault="00A313B4" w:rsidP="00DE361E">
      <w:pPr>
        <w:ind w:firstLine="720"/>
      </w:pPr>
      <w:r>
        <w:rPr>
          <w:b/>
          <w:bCs/>
        </w:rPr>
        <w:t xml:space="preserve">- </w:t>
      </w:r>
      <w:r>
        <w:t>E</w:t>
      </w:r>
      <w:r w:rsidRPr="00A313B4">
        <w:t>nsure integration with your IT infrastructure, systems and workflows.</w:t>
      </w:r>
    </w:p>
    <w:p w14:paraId="55266127" w14:textId="77777777" w:rsidR="00DE361E" w:rsidRPr="00DE361E" w:rsidRDefault="00DE361E" w:rsidP="00DE361E">
      <w:pPr>
        <w:rPr>
          <w:b/>
          <w:bCs/>
        </w:rPr>
      </w:pPr>
      <w:r>
        <w:t xml:space="preserve">4. </w:t>
      </w:r>
      <w:r w:rsidRPr="00DE361E">
        <w:rPr>
          <w:b/>
          <w:bCs/>
        </w:rPr>
        <w:t>Ensure appropriate controls</w:t>
      </w:r>
    </w:p>
    <w:p w14:paraId="0E5689F7" w14:textId="5BE21D83" w:rsidR="00CF485D" w:rsidRPr="00CF485D" w:rsidRDefault="00CF485D" w:rsidP="00CF485D">
      <w:pPr>
        <w:ind w:left="720"/>
      </w:pPr>
      <w:r w:rsidRPr="00CF485D">
        <w:t xml:space="preserve">- </w:t>
      </w:r>
      <w:r w:rsidR="00EF5DAA">
        <w:t>Consider</w:t>
      </w:r>
      <w:r w:rsidRPr="00CF485D">
        <w:t xml:space="preserve"> legal and regulatory requirements</w:t>
      </w:r>
      <w:r w:rsidR="00EF5DAA">
        <w:t xml:space="preserve">. </w:t>
      </w:r>
      <w:r w:rsidR="00E455A6">
        <w:t xml:space="preserve"> Ensure compliance </w:t>
      </w:r>
      <w:r w:rsidRPr="00CF485D">
        <w:t>with all applicable information law, the Data Security and Protection Toolkit (DSPT), and Medical Device regulations if applicable</w:t>
      </w:r>
      <w:r w:rsidR="00EF5DAA">
        <w:t>.</w:t>
      </w:r>
    </w:p>
    <w:p w14:paraId="28F77AA2" w14:textId="1F3AD874" w:rsidR="00CF485D" w:rsidRPr="00CF485D" w:rsidRDefault="00CF485D" w:rsidP="00CF485D">
      <w:pPr>
        <w:ind w:left="720"/>
      </w:pPr>
      <w:r w:rsidRPr="00CF485D">
        <w:t xml:space="preserve">- </w:t>
      </w:r>
      <w:r w:rsidR="00EF5DAA">
        <w:t>E</w:t>
      </w:r>
      <w:r w:rsidRPr="00CF485D">
        <w:t>nsure users review any product outputs prior to further actions</w:t>
      </w:r>
      <w:r w:rsidR="00EF5DAA">
        <w:t>.</w:t>
      </w:r>
    </w:p>
    <w:p w14:paraId="392871A4" w14:textId="618D6BEC" w:rsidR="00CF485D" w:rsidRDefault="00CF485D" w:rsidP="00CF485D">
      <w:pPr>
        <w:ind w:left="720"/>
      </w:pPr>
      <w:r w:rsidRPr="00CF485D">
        <w:t xml:space="preserve">- </w:t>
      </w:r>
      <w:r w:rsidR="00EF5DAA">
        <w:t>T</w:t>
      </w:r>
      <w:r w:rsidRPr="00CF485D">
        <w:t xml:space="preserve">rain </w:t>
      </w:r>
      <w:r w:rsidR="00E455A6" w:rsidRPr="00CF485D">
        <w:t xml:space="preserve">staff </w:t>
      </w:r>
      <w:r w:rsidR="00E455A6">
        <w:t>to</w:t>
      </w:r>
      <w:r w:rsidR="00EF5DAA">
        <w:t xml:space="preserve"> </w:t>
      </w:r>
      <w:r w:rsidRPr="00CF485D">
        <w:t xml:space="preserve">use </w:t>
      </w:r>
      <w:r w:rsidR="00EF5DAA">
        <w:t xml:space="preserve">the </w:t>
      </w:r>
      <w:r w:rsidRPr="00CF485D">
        <w:t>product</w:t>
      </w:r>
      <w:r w:rsidR="00E455A6">
        <w:t>.</w:t>
      </w:r>
    </w:p>
    <w:p w14:paraId="0D5C3E92" w14:textId="1EEF349A" w:rsidR="002F1064" w:rsidRDefault="002F1064" w:rsidP="002F1064">
      <w:pPr>
        <w:rPr>
          <w:b/>
          <w:bCs/>
        </w:rPr>
      </w:pPr>
      <w:r w:rsidRPr="002F1064">
        <w:rPr>
          <w:b/>
          <w:bCs/>
        </w:rPr>
        <w:t>5.</w:t>
      </w:r>
      <w:r w:rsidRPr="002F1064">
        <w:rPr>
          <w:rFonts w:ascii="Roboto" w:eastAsia="Times New Roman" w:hAnsi="Roboto" w:cs="Times New Roman"/>
          <w:b/>
          <w:bCs/>
          <w:color w:val="003087"/>
          <w:kern w:val="0"/>
          <w:sz w:val="34"/>
          <w:szCs w:val="34"/>
          <w:lang w:eastAsia="en-GB"/>
          <w14:ligatures w14:val="none"/>
        </w:rPr>
        <w:t xml:space="preserve"> </w:t>
      </w:r>
      <w:r w:rsidRPr="002F1064">
        <w:rPr>
          <w:b/>
          <w:bCs/>
        </w:rPr>
        <w:t>Implement your monitoring framework</w:t>
      </w:r>
    </w:p>
    <w:p w14:paraId="58309D7B" w14:textId="553E7984" w:rsidR="009D4572" w:rsidRPr="009D4572" w:rsidRDefault="009D4572" w:rsidP="00BC7A92">
      <w:pPr>
        <w:ind w:left="720"/>
      </w:pPr>
      <w:r>
        <w:rPr>
          <w:b/>
          <w:bCs/>
        </w:rPr>
        <w:t xml:space="preserve">- </w:t>
      </w:r>
      <w:r w:rsidR="00A862A7">
        <w:t>Ensure o</w:t>
      </w:r>
      <w:r w:rsidRPr="009D4572">
        <w:t>ngoing audits of clinical documentation, and reviews of incident reports and system performance</w:t>
      </w:r>
      <w:r>
        <w:t>.</w:t>
      </w:r>
    </w:p>
    <w:p w14:paraId="7D63FC99" w14:textId="77777777" w:rsidR="00F55F1C" w:rsidRPr="00F55F1C" w:rsidRDefault="00F55F1C" w:rsidP="00F55F1C"/>
    <w:p w14:paraId="1B299995" w14:textId="77777777" w:rsidR="00596003" w:rsidRDefault="00596003"/>
    <w:sectPr w:rsidR="005960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8C1"/>
    <w:multiLevelType w:val="multilevel"/>
    <w:tmpl w:val="FA90EC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4249C"/>
    <w:multiLevelType w:val="multilevel"/>
    <w:tmpl w:val="3C7A9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4F0DD2"/>
    <w:multiLevelType w:val="multilevel"/>
    <w:tmpl w:val="E0D4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EE6382"/>
    <w:multiLevelType w:val="multilevel"/>
    <w:tmpl w:val="E0C0D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9F5F62"/>
    <w:multiLevelType w:val="hybridMultilevel"/>
    <w:tmpl w:val="167ACA9C"/>
    <w:lvl w:ilvl="0" w:tplc="B322BDC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216A5D"/>
    <w:multiLevelType w:val="multilevel"/>
    <w:tmpl w:val="9082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D42EA4"/>
    <w:multiLevelType w:val="multilevel"/>
    <w:tmpl w:val="E0C0D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E70225"/>
    <w:multiLevelType w:val="multilevel"/>
    <w:tmpl w:val="F258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661BDB"/>
    <w:multiLevelType w:val="hybridMultilevel"/>
    <w:tmpl w:val="6EF64B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B84C2B"/>
    <w:multiLevelType w:val="multilevel"/>
    <w:tmpl w:val="8260F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FB392E"/>
    <w:multiLevelType w:val="multilevel"/>
    <w:tmpl w:val="942E2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BA40F5"/>
    <w:multiLevelType w:val="multilevel"/>
    <w:tmpl w:val="76AE7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F11963"/>
    <w:multiLevelType w:val="multilevel"/>
    <w:tmpl w:val="5C72F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3B4E77"/>
    <w:multiLevelType w:val="multilevel"/>
    <w:tmpl w:val="F05C9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28104A"/>
    <w:multiLevelType w:val="multilevel"/>
    <w:tmpl w:val="1E60B7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3C2123"/>
    <w:multiLevelType w:val="multilevel"/>
    <w:tmpl w:val="E0C0D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B66D42"/>
    <w:multiLevelType w:val="multilevel"/>
    <w:tmpl w:val="7DE8CE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9597216"/>
    <w:multiLevelType w:val="multilevel"/>
    <w:tmpl w:val="E0C0D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D93FF3"/>
    <w:multiLevelType w:val="multilevel"/>
    <w:tmpl w:val="43B6F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05B20C0"/>
    <w:multiLevelType w:val="multilevel"/>
    <w:tmpl w:val="40C891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4A7906"/>
    <w:multiLevelType w:val="multilevel"/>
    <w:tmpl w:val="E0C0D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733584">
    <w:abstractNumId w:val="11"/>
  </w:num>
  <w:num w:numId="2" w16cid:durableId="758520201">
    <w:abstractNumId w:val="7"/>
  </w:num>
  <w:num w:numId="3" w16cid:durableId="714045591">
    <w:abstractNumId w:val="16"/>
  </w:num>
  <w:num w:numId="4" w16cid:durableId="1515336800">
    <w:abstractNumId w:val="2"/>
  </w:num>
  <w:num w:numId="5" w16cid:durableId="2117020986">
    <w:abstractNumId w:val="0"/>
  </w:num>
  <w:num w:numId="6" w16cid:durableId="538052482">
    <w:abstractNumId w:val="15"/>
  </w:num>
  <w:num w:numId="7" w16cid:durableId="200480621">
    <w:abstractNumId w:val="10"/>
  </w:num>
  <w:num w:numId="8" w16cid:durableId="1190410918">
    <w:abstractNumId w:val="19"/>
  </w:num>
  <w:num w:numId="9" w16cid:durableId="1416168609">
    <w:abstractNumId w:val="12"/>
  </w:num>
  <w:num w:numId="10" w16cid:durableId="1876044990">
    <w:abstractNumId w:val="13"/>
  </w:num>
  <w:num w:numId="11" w16cid:durableId="445738222">
    <w:abstractNumId w:val="14"/>
  </w:num>
  <w:num w:numId="12" w16cid:durableId="1751391990">
    <w:abstractNumId w:val="9"/>
  </w:num>
  <w:num w:numId="13" w16cid:durableId="1262295083">
    <w:abstractNumId w:val="1"/>
  </w:num>
  <w:num w:numId="14" w16cid:durableId="480582671">
    <w:abstractNumId w:val="3"/>
  </w:num>
  <w:num w:numId="15" w16cid:durableId="2106226578">
    <w:abstractNumId w:val="20"/>
  </w:num>
  <w:num w:numId="16" w16cid:durableId="1376076988">
    <w:abstractNumId w:val="6"/>
  </w:num>
  <w:num w:numId="17" w16cid:durableId="1206870680">
    <w:abstractNumId w:val="8"/>
  </w:num>
  <w:num w:numId="18" w16cid:durableId="2015449332">
    <w:abstractNumId w:val="17"/>
  </w:num>
  <w:num w:numId="19" w16cid:durableId="1512799999">
    <w:abstractNumId w:val="4"/>
  </w:num>
  <w:num w:numId="20" w16cid:durableId="955214934">
    <w:abstractNumId w:val="18"/>
  </w:num>
  <w:num w:numId="21" w16cid:durableId="1171724917">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003"/>
    <w:rsid w:val="00011605"/>
    <w:rsid w:val="000149D1"/>
    <w:rsid w:val="00026200"/>
    <w:rsid w:val="0003018C"/>
    <w:rsid w:val="00044597"/>
    <w:rsid w:val="0005079E"/>
    <w:rsid w:val="0005169B"/>
    <w:rsid w:val="00056F16"/>
    <w:rsid w:val="00057657"/>
    <w:rsid w:val="00060F39"/>
    <w:rsid w:val="00084B05"/>
    <w:rsid w:val="00086A30"/>
    <w:rsid w:val="000A1288"/>
    <w:rsid w:val="000B6ECD"/>
    <w:rsid w:val="000C1FCC"/>
    <w:rsid w:val="000D366A"/>
    <w:rsid w:val="000F31A8"/>
    <w:rsid w:val="000F4704"/>
    <w:rsid w:val="000F69DA"/>
    <w:rsid w:val="000F6ADD"/>
    <w:rsid w:val="000F6D88"/>
    <w:rsid w:val="001065D6"/>
    <w:rsid w:val="001211D2"/>
    <w:rsid w:val="00135766"/>
    <w:rsid w:val="00145E4E"/>
    <w:rsid w:val="001507C6"/>
    <w:rsid w:val="001557F2"/>
    <w:rsid w:val="00156DDF"/>
    <w:rsid w:val="0015794D"/>
    <w:rsid w:val="001671ED"/>
    <w:rsid w:val="00183931"/>
    <w:rsid w:val="00184D1B"/>
    <w:rsid w:val="00191F86"/>
    <w:rsid w:val="00193970"/>
    <w:rsid w:val="001946E8"/>
    <w:rsid w:val="00196517"/>
    <w:rsid w:val="001A3A72"/>
    <w:rsid w:val="001B0912"/>
    <w:rsid w:val="001B731C"/>
    <w:rsid w:val="001C7AD6"/>
    <w:rsid w:val="001C7EBE"/>
    <w:rsid w:val="001E188B"/>
    <w:rsid w:val="001F7F1E"/>
    <w:rsid w:val="00201707"/>
    <w:rsid w:val="00206B34"/>
    <w:rsid w:val="00212C79"/>
    <w:rsid w:val="00231B36"/>
    <w:rsid w:val="00237ADD"/>
    <w:rsid w:val="00254AF7"/>
    <w:rsid w:val="002620C1"/>
    <w:rsid w:val="00262B25"/>
    <w:rsid w:val="002734EA"/>
    <w:rsid w:val="00277133"/>
    <w:rsid w:val="00280D86"/>
    <w:rsid w:val="002B3B3C"/>
    <w:rsid w:val="002C15D7"/>
    <w:rsid w:val="002C3E1E"/>
    <w:rsid w:val="002D1DA1"/>
    <w:rsid w:val="002F1064"/>
    <w:rsid w:val="003336D4"/>
    <w:rsid w:val="00357079"/>
    <w:rsid w:val="00397954"/>
    <w:rsid w:val="003A3569"/>
    <w:rsid w:val="003D6FBE"/>
    <w:rsid w:val="00403DBD"/>
    <w:rsid w:val="004323E0"/>
    <w:rsid w:val="00433051"/>
    <w:rsid w:val="00433EBA"/>
    <w:rsid w:val="004376FA"/>
    <w:rsid w:val="004471C8"/>
    <w:rsid w:val="00451D2B"/>
    <w:rsid w:val="00453014"/>
    <w:rsid w:val="00455B24"/>
    <w:rsid w:val="00461094"/>
    <w:rsid w:val="0048151C"/>
    <w:rsid w:val="00482575"/>
    <w:rsid w:val="004967ED"/>
    <w:rsid w:val="004C049D"/>
    <w:rsid w:val="004D7D91"/>
    <w:rsid w:val="004F7FA5"/>
    <w:rsid w:val="005015CD"/>
    <w:rsid w:val="00506E24"/>
    <w:rsid w:val="00515938"/>
    <w:rsid w:val="0052419E"/>
    <w:rsid w:val="0054320E"/>
    <w:rsid w:val="0055474D"/>
    <w:rsid w:val="00556E57"/>
    <w:rsid w:val="005710E1"/>
    <w:rsid w:val="00584063"/>
    <w:rsid w:val="00596003"/>
    <w:rsid w:val="005A43E1"/>
    <w:rsid w:val="005A5678"/>
    <w:rsid w:val="005B1D02"/>
    <w:rsid w:val="005B3A03"/>
    <w:rsid w:val="005D7D6F"/>
    <w:rsid w:val="005D7FB8"/>
    <w:rsid w:val="0060460B"/>
    <w:rsid w:val="00605188"/>
    <w:rsid w:val="00664A72"/>
    <w:rsid w:val="006B2730"/>
    <w:rsid w:val="006B5946"/>
    <w:rsid w:val="006D30DE"/>
    <w:rsid w:val="006D55CE"/>
    <w:rsid w:val="006F2703"/>
    <w:rsid w:val="007126C5"/>
    <w:rsid w:val="0072157B"/>
    <w:rsid w:val="00727861"/>
    <w:rsid w:val="0075784E"/>
    <w:rsid w:val="007851BF"/>
    <w:rsid w:val="007D3E3B"/>
    <w:rsid w:val="007D5649"/>
    <w:rsid w:val="007E587C"/>
    <w:rsid w:val="00811F1F"/>
    <w:rsid w:val="00822318"/>
    <w:rsid w:val="00826C71"/>
    <w:rsid w:val="00850726"/>
    <w:rsid w:val="008650A3"/>
    <w:rsid w:val="0087363B"/>
    <w:rsid w:val="008812CD"/>
    <w:rsid w:val="008A4E01"/>
    <w:rsid w:val="008B2DC2"/>
    <w:rsid w:val="008C1BB6"/>
    <w:rsid w:val="008C79C9"/>
    <w:rsid w:val="008E2E3E"/>
    <w:rsid w:val="008F5AE5"/>
    <w:rsid w:val="00915AEC"/>
    <w:rsid w:val="00916B06"/>
    <w:rsid w:val="00941A98"/>
    <w:rsid w:val="0095473A"/>
    <w:rsid w:val="00973BB3"/>
    <w:rsid w:val="009D0703"/>
    <w:rsid w:val="009D1437"/>
    <w:rsid w:val="009D4572"/>
    <w:rsid w:val="009F3B22"/>
    <w:rsid w:val="009F792F"/>
    <w:rsid w:val="00A06165"/>
    <w:rsid w:val="00A313B4"/>
    <w:rsid w:val="00A353A6"/>
    <w:rsid w:val="00A51AEA"/>
    <w:rsid w:val="00A862A7"/>
    <w:rsid w:val="00A92B0F"/>
    <w:rsid w:val="00B03B16"/>
    <w:rsid w:val="00B40F31"/>
    <w:rsid w:val="00B45915"/>
    <w:rsid w:val="00B45A0D"/>
    <w:rsid w:val="00B47857"/>
    <w:rsid w:val="00B66EFA"/>
    <w:rsid w:val="00B678D7"/>
    <w:rsid w:val="00B828F4"/>
    <w:rsid w:val="00B933B9"/>
    <w:rsid w:val="00B95CF9"/>
    <w:rsid w:val="00BB097E"/>
    <w:rsid w:val="00BC1F28"/>
    <w:rsid w:val="00BC7A92"/>
    <w:rsid w:val="00BD1E74"/>
    <w:rsid w:val="00BF50D0"/>
    <w:rsid w:val="00BF7B0A"/>
    <w:rsid w:val="00BF7DE9"/>
    <w:rsid w:val="00C00070"/>
    <w:rsid w:val="00C03277"/>
    <w:rsid w:val="00C067A2"/>
    <w:rsid w:val="00C25026"/>
    <w:rsid w:val="00C332FA"/>
    <w:rsid w:val="00C42A31"/>
    <w:rsid w:val="00C709B4"/>
    <w:rsid w:val="00C74B0B"/>
    <w:rsid w:val="00C867F4"/>
    <w:rsid w:val="00C94DA7"/>
    <w:rsid w:val="00CC7986"/>
    <w:rsid w:val="00CE552A"/>
    <w:rsid w:val="00CE6D34"/>
    <w:rsid w:val="00CF36E5"/>
    <w:rsid w:val="00CF485D"/>
    <w:rsid w:val="00D202DB"/>
    <w:rsid w:val="00D352C9"/>
    <w:rsid w:val="00D555A2"/>
    <w:rsid w:val="00D729F2"/>
    <w:rsid w:val="00D86928"/>
    <w:rsid w:val="00D97B8B"/>
    <w:rsid w:val="00DB6974"/>
    <w:rsid w:val="00DE09E1"/>
    <w:rsid w:val="00DE2E9F"/>
    <w:rsid w:val="00DE361E"/>
    <w:rsid w:val="00DF5537"/>
    <w:rsid w:val="00E005DC"/>
    <w:rsid w:val="00E041DB"/>
    <w:rsid w:val="00E31FF7"/>
    <w:rsid w:val="00E33F1F"/>
    <w:rsid w:val="00E44572"/>
    <w:rsid w:val="00E45146"/>
    <w:rsid w:val="00E455A6"/>
    <w:rsid w:val="00E82B9B"/>
    <w:rsid w:val="00E85B9F"/>
    <w:rsid w:val="00EC33F0"/>
    <w:rsid w:val="00ED79A8"/>
    <w:rsid w:val="00EF443B"/>
    <w:rsid w:val="00EF5604"/>
    <w:rsid w:val="00EF5DAA"/>
    <w:rsid w:val="00EF6171"/>
    <w:rsid w:val="00F11BA6"/>
    <w:rsid w:val="00F25BC4"/>
    <w:rsid w:val="00F27EB5"/>
    <w:rsid w:val="00F4324B"/>
    <w:rsid w:val="00F55F1C"/>
    <w:rsid w:val="00F72DEB"/>
    <w:rsid w:val="00F75A43"/>
    <w:rsid w:val="00F76613"/>
    <w:rsid w:val="00F91968"/>
    <w:rsid w:val="00F94E33"/>
    <w:rsid w:val="00FA61C4"/>
    <w:rsid w:val="00FB1837"/>
    <w:rsid w:val="00FD5073"/>
    <w:rsid w:val="00FE6C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F1EDC"/>
  <w15:chartTrackingRefBased/>
  <w15:docId w15:val="{F684ABFB-A805-4251-9312-9D9A191E1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60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60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60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60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60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60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60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60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60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0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60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60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60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60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60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60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60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6003"/>
    <w:rPr>
      <w:rFonts w:eastAsiaTheme="majorEastAsia" w:cstheme="majorBidi"/>
      <w:color w:val="272727" w:themeColor="text1" w:themeTint="D8"/>
    </w:rPr>
  </w:style>
  <w:style w:type="paragraph" w:styleId="Title">
    <w:name w:val="Title"/>
    <w:basedOn w:val="Normal"/>
    <w:next w:val="Normal"/>
    <w:link w:val="TitleChar"/>
    <w:uiPriority w:val="10"/>
    <w:qFormat/>
    <w:rsid w:val="005960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60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60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60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6003"/>
    <w:pPr>
      <w:spacing w:before="160"/>
      <w:jc w:val="center"/>
    </w:pPr>
    <w:rPr>
      <w:i/>
      <w:iCs/>
      <w:color w:val="404040" w:themeColor="text1" w:themeTint="BF"/>
    </w:rPr>
  </w:style>
  <w:style w:type="character" w:customStyle="1" w:styleId="QuoteChar">
    <w:name w:val="Quote Char"/>
    <w:basedOn w:val="DefaultParagraphFont"/>
    <w:link w:val="Quote"/>
    <w:uiPriority w:val="29"/>
    <w:rsid w:val="00596003"/>
    <w:rPr>
      <w:i/>
      <w:iCs/>
      <w:color w:val="404040" w:themeColor="text1" w:themeTint="BF"/>
    </w:rPr>
  </w:style>
  <w:style w:type="paragraph" w:styleId="ListParagraph">
    <w:name w:val="List Paragraph"/>
    <w:basedOn w:val="Normal"/>
    <w:uiPriority w:val="34"/>
    <w:qFormat/>
    <w:rsid w:val="00596003"/>
    <w:pPr>
      <w:ind w:left="720"/>
      <w:contextualSpacing/>
    </w:pPr>
  </w:style>
  <w:style w:type="character" w:styleId="IntenseEmphasis">
    <w:name w:val="Intense Emphasis"/>
    <w:basedOn w:val="DefaultParagraphFont"/>
    <w:uiPriority w:val="21"/>
    <w:qFormat/>
    <w:rsid w:val="00596003"/>
    <w:rPr>
      <w:i/>
      <w:iCs/>
      <w:color w:val="0F4761" w:themeColor="accent1" w:themeShade="BF"/>
    </w:rPr>
  </w:style>
  <w:style w:type="paragraph" w:styleId="IntenseQuote">
    <w:name w:val="Intense Quote"/>
    <w:basedOn w:val="Normal"/>
    <w:next w:val="Normal"/>
    <w:link w:val="IntenseQuoteChar"/>
    <w:uiPriority w:val="30"/>
    <w:qFormat/>
    <w:rsid w:val="005960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6003"/>
    <w:rPr>
      <w:i/>
      <w:iCs/>
      <w:color w:val="0F4761" w:themeColor="accent1" w:themeShade="BF"/>
    </w:rPr>
  </w:style>
  <w:style w:type="character" w:styleId="IntenseReference">
    <w:name w:val="Intense Reference"/>
    <w:basedOn w:val="DefaultParagraphFont"/>
    <w:uiPriority w:val="32"/>
    <w:qFormat/>
    <w:rsid w:val="00596003"/>
    <w:rPr>
      <w:b/>
      <w:bCs/>
      <w:smallCaps/>
      <w:color w:val="0F4761" w:themeColor="accent1" w:themeShade="BF"/>
      <w:spacing w:val="5"/>
    </w:rPr>
  </w:style>
  <w:style w:type="character" w:styleId="Hyperlink">
    <w:name w:val="Hyperlink"/>
    <w:basedOn w:val="DefaultParagraphFont"/>
    <w:uiPriority w:val="99"/>
    <w:unhideWhenUsed/>
    <w:rsid w:val="00237ADD"/>
    <w:rPr>
      <w:color w:val="467886" w:themeColor="hyperlink"/>
      <w:u w:val="single"/>
    </w:rPr>
  </w:style>
  <w:style w:type="character" w:styleId="UnresolvedMention">
    <w:name w:val="Unresolved Mention"/>
    <w:basedOn w:val="DefaultParagraphFont"/>
    <w:uiPriority w:val="99"/>
    <w:semiHidden/>
    <w:unhideWhenUsed/>
    <w:rsid w:val="00237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74456">
      <w:bodyDiv w:val="1"/>
      <w:marLeft w:val="0"/>
      <w:marRight w:val="0"/>
      <w:marTop w:val="0"/>
      <w:marBottom w:val="0"/>
      <w:divBdr>
        <w:top w:val="none" w:sz="0" w:space="0" w:color="auto"/>
        <w:left w:val="none" w:sz="0" w:space="0" w:color="auto"/>
        <w:bottom w:val="none" w:sz="0" w:space="0" w:color="auto"/>
        <w:right w:val="none" w:sz="0" w:space="0" w:color="auto"/>
      </w:divBdr>
      <w:divsChild>
        <w:div w:id="1841775542">
          <w:marLeft w:val="0"/>
          <w:marRight w:val="0"/>
          <w:marTop w:val="0"/>
          <w:marBottom w:val="0"/>
          <w:divBdr>
            <w:top w:val="none" w:sz="0" w:space="0" w:color="auto"/>
            <w:left w:val="none" w:sz="0" w:space="0" w:color="auto"/>
            <w:bottom w:val="none" w:sz="0" w:space="0" w:color="auto"/>
            <w:right w:val="none" w:sz="0" w:space="0" w:color="auto"/>
          </w:divBdr>
        </w:div>
        <w:div w:id="1204027415">
          <w:marLeft w:val="0"/>
          <w:marRight w:val="0"/>
          <w:marTop w:val="0"/>
          <w:marBottom w:val="0"/>
          <w:divBdr>
            <w:top w:val="none" w:sz="0" w:space="0" w:color="auto"/>
            <w:left w:val="none" w:sz="0" w:space="0" w:color="auto"/>
            <w:bottom w:val="none" w:sz="0" w:space="0" w:color="auto"/>
            <w:right w:val="none" w:sz="0" w:space="0" w:color="auto"/>
          </w:divBdr>
          <w:divsChild>
            <w:div w:id="641886987">
              <w:marLeft w:val="0"/>
              <w:marRight w:val="0"/>
              <w:marTop w:val="0"/>
              <w:marBottom w:val="0"/>
              <w:divBdr>
                <w:top w:val="none" w:sz="0" w:space="0" w:color="auto"/>
                <w:left w:val="none" w:sz="0" w:space="19" w:color="auto"/>
                <w:bottom w:val="single" w:sz="12" w:space="11" w:color="E8EDEE"/>
                <w:right w:val="none" w:sz="0" w:space="0" w:color="auto"/>
              </w:divBdr>
            </w:div>
            <w:div w:id="1280531501">
              <w:marLeft w:val="0"/>
              <w:marRight w:val="0"/>
              <w:marTop w:val="0"/>
              <w:marBottom w:val="0"/>
              <w:divBdr>
                <w:top w:val="none" w:sz="0" w:space="0" w:color="auto"/>
                <w:left w:val="none" w:sz="0" w:space="0" w:color="auto"/>
                <w:bottom w:val="none" w:sz="0" w:space="0" w:color="auto"/>
                <w:right w:val="none" w:sz="0" w:space="0" w:color="auto"/>
              </w:divBdr>
              <w:divsChild>
                <w:div w:id="1897009475">
                  <w:marLeft w:val="0"/>
                  <w:marRight w:val="0"/>
                  <w:marTop w:val="0"/>
                  <w:marBottom w:val="300"/>
                  <w:divBdr>
                    <w:top w:val="none" w:sz="0" w:space="0" w:color="auto"/>
                    <w:left w:val="none" w:sz="0" w:space="0" w:color="auto"/>
                    <w:bottom w:val="none" w:sz="0" w:space="0" w:color="auto"/>
                    <w:right w:val="none" w:sz="0" w:space="0" w:color="auto"/>
                  </w:divBdr>
                </w:div>
                <w:div w:id="1322613852">
                  <w:marLeft w:val="0"/>
                  <w:marRight w:val="0"/>
                  <w:marTop w:val="0"/>
                  <w:marBottom w:val="300"/>
                  <w:divBdr>
                    <w:top w:val="none" w:sz="0" w:space="0" w:color="auto"/>
                    <w:left w:val="none" w:sz="0" w:space="0" w:color="auto"/>
                    <w:bottom w:val="none" w:sz="0" w:space="0" w:color="auto"/>
                    <w:right w:val="none" w:sz="0" w:space="0" w:color="auto"/>
                  </w:divBdr>
                </w:div>
                <w:div w:id="1112243604">
                  <w:marLeft w:val="0"/>
                  <w:marRight w:val="0"/>
                  <w:marTop w:val="0"/>
                  <w:marBottom w:val="300"/>
                  <w:divBdr>
                    <w:top w:val="none" w:sz="0" w:space="0" w:color="auto"/>
                    <w:left w:val="none" w:sz="0" w:space="0" w:color="auto"/>
                    <w:bottom w:val="none" w:sz="0" w:space="0" w:color="auto"/>
                    <w:right w:val="none" w:sz="0" w:space="0" w:color="auto"/>
                  </w:divBdr>
                </w:div>
                <w:div w:id="159809510">
                  <w:marLeft w:val="0"/>
                  <w:marRight w:val="0"/>
                  <w:marTop w:val="0"/>
                  <w:marBottom w:val="300"/>
                  <w:divBdr>
                    <w:top w:val="none" w:sz="0" w:space="0" w:color="auto"/>
                    <w:left w:val="none" w:sz="0" w:space="0" w:color="auto"/>
                    <w:bottom w:val="none" w:sz="0" w:space="0" w:color="auto"/>
                    <w:right w:val="none" w:sz="0" w:space="0" w:color="auto"/>
                  </w:divBdr>
                </w:div>
                <w:div w:id="376272994">
                  <w:marLeft w:val="0"/>
                  <w:marRight w:val="0"/>
                  <w:marTop w:val="0"/>
                  <w:marBottom w:val="300"/>
                  <w:divBdr>
                    <w:top w:val="none" w:sz="0" w:space="0" w:color="auto"/>
                    <w:left w:val="none" w:sz="0" w:space="0" w:color="auto"/>
                    <w:bottom w:val="none" w:sz="0" w:space="0" w:color="auto"/>
                    <w:right w:val="none" w:sz="0" w:space="0" w:color="auto"/>
                  </w:divBdr>
                </w:div>
                <w:div w:id="290215420">
                  <w:marLeft w:val="0"/>
                  <w:marRight w:val="0"/>
                  <w:marTop w:val="0"/>
                  <w:marBottom w:val="360"/>
                  <w:divBdr>
                    <w:top w:val="single" w:sz="12" w:space="24" w:color="E8EDEE"/>
                    <w:left w:val="none" w:sz="0" w:space="0" w:color="auto"/>
                    <w:bottom w:val="single" w:sz="12" w:space="24" w:color="E8EDEE"/>
                    <w:right w:val="none" w:sz="0" w:space="0" w:color="auto"/>
                  </w:divBdr>
                  <w:divsChild>
                    <w:div w:id="377822844">
                      <w:marLeft w:val="0"/>
                      <w:marRight w:val="0"/>
                      <w:marTop w:val="0"/>
                      <w:marBottom w:val="0"/>
                      <w:divBdr>
                        <w:top w:val="none" w:sz="0" w:space="0" w:color="auto"/>
                        <w:left w:val="none" w:sz="0" w:space="0" w:color="auto"/>
                        <w:bottom w:val="none" w:sz="0" w:space="0" w:color="auto"/>
                        <w:right w:val="none" w:sz="0" w:space="0" w:color="auto"/>
                      </w:divBdr>
                      <w:divsChild>
                        <w:div w:id="1987928033">
                          <w:marLeft w:val="0"/>
                          <w:marRight w:val="0"/>
                          <w:marTop w:val="0"/>
                          <w:marBottom w:val="0"/>
                          <w:divBdr>
                            <w:top w:val="none" w:sz="0" w:space="0" w:color="auto"/>
                            <w:left w:val="none" w:sz="0" w:space="0" w:color="auto"/>
                            <w:bottom w:val="none" w:sz="0" w:space="0" w:color="auto"/>
                            <w:right w:val="none" w:sz="0" w:space="0" w:color="auto"/>
                          </w:divBdr>
                        </w:div>
                        <w:div w:id="154841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2001154">
      <w:bodyDiv w:val="1"/>
      <w:marLeft w:val="0"/>
      <w:marRight w:val="0"/>
      <w:marTop w:val="0"/>
      <w:marBottom w:val="0"/>
      <w:divBdr>
        <w:top w:val="none" w:sz="0" w:space="0" w:color="auto"/>
        <w:left w:val="none" w:sz="0" w:space="0" w:color="auto"/>
        <w:bottom w:val="none" w:sz="0" w:space="0" w:color="auto"/>
        <w:right w:val="none" w:sz="0" w:space="0" w:color="auto"/>
      </w:divBdr>
    </w:div>
    <w:div w:id="385496423">
      <w:bodyDiv w:val="1"/>
      <w:marLeft w:val="0"/>
      <w:marRight w:val="0"/>
      <w:marTop w:val="0"/>
      <w:marBottom w:val="0"/>
      <w:divBdr>
        <w:top w:val="none" w:sz="0" w:space="0" w:color="auto"/>
        <w:left w:val="none" w:sz="0" w:space="0" w:color="auto"/>
        <w:bottom w:val="none" w:sz="0" w:space="0" w:color="auto"/>
        <w:right w:val="none" w:sz="0" w:space="0" w:color="auto"/>
      </w:divBdr>
      <w:divsChild>
        <w:div w:id="1451171179">
          <w:marLeft w:val="0"/>
          <w:marRight w:val="0"/>
          <w:marTop w:val="0"/>
          <w:marBottom w:val="0"/>
          <w:divBdr>
            <w:top w:val="none" w:sz="0" w:space="0" w:color="auto"/>
            <w:left w:val="none" w:sz="0" w:space="0" w:color="auto"/>
            <w:bottom w:val="none" w:sz="0" w:space="0" w:color="auto"/>
            <w:right w:val="none" w:sz="0" w:space="0" w:color="auto"/>
          </w:divBdr>
          <w:divsChild>
            <w:div w:id="93809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994856">
      <w:bodyDiv w:val="1"/>
      <w:marLeft w:val="0"/>
      <w:marRight w:val="0"/>
      <w:marTop w:val="0"/>
      <w:marBottom w:val="0"/>
      <w:divBdr>
        <w:top w:val="none" w:sz="0" w:space="0" w:color="auto"/>
        <w:left w:val="none" w:sz="0" w:space="0" w:color="auto"/>
        <w:bottom w:val="none" w:sz="0" w:space="0" w:color="auto"/>
        <w:right w:val="none" w:sz="0" w:space="0" w:color="auto"/>
      </w:divBdr>
    </w:div>
    <w:div w:id="621613358">
      <w:bodyDiv w:val="1"/>
      <w:marLeft w:val="0"/>
      <w:marRight w:val="0"/>
      <w:marTop w:val="0"/>
      <w:marBottom w:val="0"/>
      <w:divBdr>
        <w:top w:val="none" w:sz="0" w:space="0" w:color="auto"/>
        <w:left w:val="none" w:sz="0" w:space="0" w:color="auto"/>
        <w:bottom w:val="none" w:sz="0" w:space="0" w:color="auto"/>
        <w:right w:val="none" w:sz="0" w:space="0" w:color="auto"/>
      </w:divBdr>
    </w:div>
    <w:div w:id="924995602">
      <w:bodyDiv w:val="1"/>
      <w:marLeft w:val="0"/>
      <w:marRight w:val="0"/>
      <w:marTop w:val="0"/>
      <w:marBottom w:val="0"/>
      <w:divBdr>
        <w:top w:val="none" w:sz="0" w:space="0" w:color="auto"/>
        <w:left w:val="none" w:sz="0" w:space="0" w:color="auto"/>
        <w:bottom w:val="none" w:sz="0" w:space="0" w:color="auto"/>
        <w:right w:val="none" w:sz="0" w:space="0" w:color="auto"/>
      </w:divBdr>
    </w:div>
    <w:div w:id="1370374179">
      <w:bodyDiv w:val="1"/>
      <w:marLeft w:val="0"/>
      <w:marRight w:val="0"/>
      <w:marTop w:val="0"/>
      <w:marBottom w:val="0"/>
      <w:divBdr>
        <w:top w:val="none" w:sz="0" w:space="0" w:color="auto"/>
        <w:left w:val="none" w:sz="0" w:space="0" w:color="auto"/>
        <w:bottom w:val="none" w:sz="0" w:space="0" w:color="auto"/>
        <w:right w:val="none" w:sz="0" w:space="0" w:color="auto"/>
      </w:divBdr>
    </w:div>
    <w:div w:id="1579287851">
      <w:bodyDiv w:val="1"/>
      <w:marLeft w:val="0"/>
      <w:marRight w:val="0"/>
      <w:marTop w:val="0"/>
      <w:marBottom w:val="0"/>
      <w:divBdr>
        <w:top w:val="none" w:sz="0" w:space="0" w:color="auto"/>
        <w:left w:val="none" w:sz="0" w:space="0" w:color="auto"/>
        <w:bottom w:val="none" w:sz="0" w:space="0" w:color="auto"/>
        <w:right w:val="none" w:sz="0" w:space="0" w:color="auto"/>
      </w:divBdr>
    </w:div>
    <w:div w:id="1634948063">
      <w:bodyDiv w:val="1"/>
      <w:marLeft w:val="0"/>
      <w:marRight w:val="0"/>
      <w:marTop w:val="0"/>
      <w:marBottom w:val="0"/>
      <w:divBdr>
        <w:top w:val="none" w:sz="0" w:space="0" w:color="auto"/>
        <w:left w:val="none" w:sz="0" w:space="0" w:color="auto"/>
        <w:bottom w:val="none" w:sz="0" w:space="0" w:color="auto"/>
        <w:right w:val="none" w:sz="0" w:space="0" w:color="auto"/>
      </w:divBdr>
    </w:div>
    <w:div w:id="168855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ransform.england.nhs.uk/information-governance/guidance/artificial-intellige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office.com/Pages/ResponsePage.aspx?id=zwd49LyvhEGleYZ4vqMBmgJmsKj78UdPiNHdaZ67ZbVURUU2TFZJM0JBV0hXT05JSzNHUFZHNklDRy4u&amp;origin=QRCode" TargetMode="External"/><Relationship Id="rId5" Type="http://schemas.openxmlformats.org/officeDocument/2006/relationships/hyperlink" Target="https://ico.org.uk/for-organisations/uk-gdpr-guidance-and-resources/accountability-andgovernance/data-protection-impact-assessments-dpias/when-do-we-need-to-do-a-dpi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1776</Words>
  <Characters>10125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FARMER, Gillian (GP LOCUM)</dc:creator>
  <cp:keywords/>
  <dc:description/>
  <cp:lastModifiedBy>tim horsburgh</cp:lastModifiedBy>
  <cp:revision>2</cp:revision>
  <dcterms:created xsi:type="dcterms:W3CDTF">2025-05-27T10:33:00Z</dcterms:created>
  <dcterms:modified xsi:type="dcterms:W3CDTF">2025-05-27T10:33:00Z</dcterms:modified>
</cp:coreProperties>
</file>