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DFC3" w14:textId="1B946748" w:rsidR="00EF7104" w:rsidRDefault="00EF7104" w:rsidP="00E01DBE">
      <w:r w:rsidRPr="007459B3">
        <w:rPr>
          <w:b/>
          <w:bCs/>
        </w:rPr>
        <w:t>We as a practice have been offering full access to the GP electronic health record (prospective and retrospective access to the whole GP electronic health record) since 2004</w:t>
      </w:r>
      <w:r>
        <w:t xml:space="preserve"> through an </w:t>
      </w:r>
      <w:r w:rsidRPr="007459B3">
        <w:rPr>
          <w:b/>
          <w:bCs/>
        </w:rPr>
        <w:t>explicit consent process</w:t>
      </w:r>
      <w:r>
        <w:t xml:space="preserve"> and </w:t>
      </w:r>
      <w:r w:rsidRPr="007459B3">
        <w:rPr>
          <w:b/>
          <w:bCs/>
        </w:rPr>
        <w:t>responsible sharing</w:t>
      </w:r>
      <w:r>
        <w:t xml:space="preserve"> </w:t>
      </w:r>
      <w:hyperlink r:id="rId5" w:history="1">
        <w:r w:rsidRPr="002577D3">
          <w:rPr>
            <w:rStyle w:val="Hyperlink"/>
          </w:rPr>
          <w:t>https://www.htmc.co.uk/responsible-sharing/</w:t>
        </w:r>
      </w:hyperlink>
      <w:r>
        <w:t xml:space="preserve">  and over 81% of all our patients already enjoy this service. </w:t>
      </w:r>
      <w:hyperlink r:id="rId6" w:history="1">
        <w:r w:rsidRPr="002577D3">
          <w:rPr>
            <w:rStyle w:val="Hyperlink"/>
          </w:rPr>
          <w:t>https://www.htmc.co.uk/do-you-want-to-see-what-your-doctor-or-nurse-has-written-about-you-or-check-your-gp-electronic-health-record-2/how-many-have-signed-up-for-full-records-access-and-understanding/</w:t>
        </w:r>
      </w:hyperlink>
      <w:r>
        <w:t xml:space="preserve"> We published our data for over 16000 patients that have completed the questionnaire showing our robust processes and potential harm and how we have mitigated this by doing this on a patient by patient basis. </w:t>
      </w:r>
      <w:hyperlink r:id="rId7" w:history="1">
        <w:r w:rsidRPr="002577D3">
          <w:rPr>
            <w:rStyle w:val="Hyperlink"/>
          </w:rPr>
          <w:t>https://www.htmc.co.uk/over-16000-questionnaires-done-for-records-access-and-understanding/</w:t>
        </w:r>
      </w:hyperlink>
      <w:r>
        <w:t xml:space="preserve">. He have published our method for all to see </w:t>
      </w:r>
      <w:hyperlink r:id="rId8" w:history="1">
        <w:r w:rsidRPr="002577D3">
          <w:rPr>
            <w:rStyle w:val="Hyperlink"/>
          </w:rPr>
          <w:t>https://www.htmc.co.uk/patients-accessing-the-gp-electronic-health-record-and-understanding-the-haughton-thornley-medical-centres-way/</w:t>
        </w:r>
      </w:hyperlink>
      <w:r w:rsidR="007459B3">
        <w:t xml:space="preserve">. </w:t>
      </w:r>
    </w:p>
    <w:p w14:paraId="4A53FC43" w14:textId="77777777" w:rsidR="00EF7104" w:rsidRDefault="00EF7104" w:rsidP="00E01DBE"/>
    <w:p w14:paraId="042ECEBC" w14:textId="77777777" w:rsidR="007459B3" w:rsidRDefault="00EF7104" w:rsidP="007459B3">
      <w:r>
        <w:t>The government / NHS England have imposed a contractual change that means p</w:t>
      </w:r>
      <w:r w:rsidR="00E01DBE" w:rsidRPr="00E01DBE">
        <w:t>atients with online accounts such as through the NHS App will be able to read new entries, including free text, in their health record. This change only applies to future (prospective) record entries and not historic data</w:t>
      </w:r>
      <w:r w:rsidR="00E01DBE">
        <w:t xml:space="preserve"> (from 31</w:t>
      </w:r>
      <w:r w:rsidR="00E01DBE" w:rsidRPr="00E01DBE">
        <w:rPr>
          <w:vertAlign w:val="superscript"/>
        </w:rPr>
        <w:t>st</w:t>
      </w:r>
      <w:r w:rsidR="00E01DBE">
        <w:t xml:space="preserve"> October 2023. </w:t>
      </w:r>
      <w:hyperlink r:id="rId9" w:history="1">
        <w:r w:rsidR="00E01DBE" w:rsidRPr="002577D3">
          <w:rPr>
            <w:rStyle w:val="Hyperlink"/>
          </w:rPr>
          <w:t>https://digital.nhs.uk/services/nhs-app/nhs-app-guidance-for-gp-practices/guidance-on-nhs-app-features/online-access-to-gp-health-records</w:t>
        </w:r>
      </w:hyperlink>
      <w:r w:rsidR="007459B3">
        <w:t xml:space="preserve">. I talked about this at the national LMC conference in 2022 where I raised concerns about the programme and why it is unsafe (3 minutes 20 seconds long)  </w:t>
      </w:r>
      <w:hyperlink r:id="rId10" w:history="1">
        <w:r w:rsidR="007459B3" w:rsidRPr="002577D3">
          <w:rPr>
            <w:rStyle w:val="Hyperlink"/>
          </w:rPr>
          <w:t>https://youtu.be/VS1R-xCr5L8</w:t>
        </w:r>
      </w:hyperlink>
      <w:r w:rsidR="007459B3">
        <w:t xml:space="preserve"> </w:t>
      </w:r>
    </w:p>
    <w:p w14:paraId="1F62811C" w14:textId="77777777" w:rsidR="00E01DBE" w:rsidRDefault="00E01DBE" w:rsidP="00E01DBE"/>
    <w:p w14:paraId="0E8AAF9A" w14:textId="26C9D86F" w:rsidR="00E01DBE" w:rsidRPr="00E01DBE" w:rsidRDefault="00E01DBE" w:rsidP="00E01DBE">
      <w:r>
        <w:t xml:space="preserve">Due to widespread concerns about the approach being taken and to safeguard patients as well as practices, we as a practice instructed EMIS not to automatically upload data from patients records </w:t>
      </w:r>
      <w:hyperlink r:id="rId11" w:history="1">
        <w:r w:rsidRPr="002577D3">
          <w:rPr>
            <w:rStyle w:val="Hyperlink"/>
          </w:rPr>
          <w:t>https://digital.nhs.uk/services/nhs-app/nhs-app-guidance-for-gp-practices/guidance-on-nhs-app-features/accelerating-patient-access-to-their-record/update-from-nhs-england</w:t>
        </w:r>
      </w:hyperlink>
      <w:r>
        <w:t xml:space="preserve">  and put a 104 code in place to also stop patient records from being uploaded UNLESS they had been consented by completing our Records Access and Understanding Safety Checklist Questionnaire </w:t>
      </w:r>
      <w:hyperlink r:id="rId12" w:history="1">
        <w:r w:rsidRPr="002577D3">
          <w:rPr>
            <w:rStyle w:val="Hyperlink"/>
          </w:rPr>
          <w:t>https://www.htmc.co.uk/do-you-want-to-see-what-your-doctor-or-nurse-has-written-about-you-or-check-your-gp-electronic-health-record-2/</w:t>
        </w:r>
      </w:hyperlink>
      <w:r>
        <w:t xml:space="preserve"> </w:t>
      </w:r>
    </w:p>
    <w:p w14:paraId="2A4FFF29" w14:textId="77777777" w:rsidR="00E01DBE" w:rsidRDefault="00E01DBE"/>
    <w:p w14:paraId="098EE880" w14:textId="4E834CA5" w:rsidR="00E01DBE" w:rsidRDefault="00854692">
      <w:r>
        <w:t xml:space="preserve">We need to do a Data Protection Impact Assessment (DPIA) in relation to the Accelerated Access to Records Programme Implementation on Wednesday morning as a practice. </w:t>
      </w:r>
    </w:p>
    <w:p w14:paraId="7B349759" w14:textId="77777777" w:rsidR="002F1F4A" w:rsidRDefault="002F1F4A"/>
    <w:p w14:paraId="13D7B68E" w14:textId="2436CC07" w:rsidR="002F1F4A" w:rsidRDefault="002F1F4A">
      <w:r>
        <w:t xml:space="preserve">As this is very new and most if not all of us have little understanding of what this is, I have tried to pull out the most relevant information to help us all get the most from this. </w:t>
      </w:r>
    </w:p>
    <w:p w14:paraId="24648683" w14:textId="77777777" w:rsidR="002F1F4A" w:rsidRDefault="002F1F4A"/>
    <w:p w14:paraId="40D33863" w14:textId="39DD859C" w:rsidR="002F1F4A" w:rsidRPr="002F1F4A" w:rsidRDefault="002F1F4A" w:rsidP="002F1F4A">
      <w:r w:rsidRPr="002F1F4A">
        <w:lastRenderedPageBreak/>
        <w:t>The ICO (Information Commissioner’s Office) defines a DPIA (Data Protection Impact Assessment)</w:t>
      </w:r>
      <w:r>
        <w:t xml:space="preserve"> </w:t>
      </w:r>
      <w:r w:rsidRPr="002F1F4A">
        <w:t xml:space="preserve">as a process designed to help systematically analyse, </w:t>
      </w:r>
      <w:proofErr w:type="gramStart"/>
      <w:r w:rsidRPr="002F1F4A">
        <w:t>identify</w:t>
      </w:r>
      <w:proofErr w:type="gramEnd"/>
      <w:r w:rsidRPr="002F1F4A">
        <w:t xml:space="preserve"> and minimise the data protection risks</w:t>
      </w:r>
      <w:r>
        <w:t xml:space="preserve"> </w:t>
      </w:r>
      <w:r w:rsidRPr="002F1F4A">
        <w:t>of a project or plan. It is a key part of a GP contractor’s accountability obligations under the UK GDPR,</w:t>
      </w:r>
      <w:r>
        <w:t xml:space="preserve"> </w:t>
      </w:r>
      <w:r w:rsidRPr="002F1F4A">
        <w:t>and when done properly helps assess and demonstrate how contractors must comply with their</w:t>
      </w:r>
      <w:r>
        <w:t xml:space="preserve"> </w:t>
      </w:r>
      <w:r w:rsidRPr="002F1F4A">
        <w:t>data protection obligations.</w:t>
      </w:r>
    </w:p>
    <w:p w14:paraId="09B14D89" w14:textId="62A65AD2" w:rsidR="002F1F4A" w:rsidRPr="002F1F4A" w:rsidRDefault="002F1F4A" w:rsidP="002F1F4A">
      <w:r w:rsidRPr="002F1F4A">
        <w:t>If a data controller wishes to process personal data in a new way, it must by law carry out a DPIA.</w:t>
      </w:r>
      <w:r>
        <w:t xml:space="preserve"> </w:t>
      </w:r>
      <w:r w:rsidRPr="002F1F4A">
        <w:t>Providing patients with access online to their medical records in accordance with the new legal</w:t>
      </w:r>
      <w:r>
        <w:t xml:space="preserve"> </w:t>
      </w:r>
      <w:r w:rsidRPr="002F1F4A">
        <w:t>requirements is a new form of processing, so GPs as data controllers need to conduct a DPIA.</w:t>
      </w:r>
      <w:r>
        <w:t xml:space="preserve"> </w:t>
      </w:r>
      <w:r w:rsidRPr="002F1F4A">
        <w:t>The BMA has conducted a general DPIA on behalf of the profession as a way of sharing the data</w:t>
      </w:r>
      <w:r>
        <w:t xml:space="preserve"> </w:t>
      </w:r>
      <w:r w:rsidRPr="002F1F4A">
        <w:t>protection analysis it has carried out. It is intended to help practices carry out their own DPIAs.</w:t>
      </w:r>
    </w:p>
    <w:p w14:paraId="59C57530" w14:textId="77777777" w:rsidR="002F1F4A" w:rsidRDefault="002F1F4A"/>
    <w:p w14:paraId="7A5CC699" w14:textId="722223C4" w:rsidR="002F1F4A" w:rsidRDefault="002F1F4A">
      <w:r>
        <w:t xml:space="preserve">We as Partners and the Data Controllers of the </w:t>
      </w:r>
      <w:proofErr w:type="gramStart"/>
      <w:r>
        <w:t>patients</w:t>
      </w:r>
      <w:proofErr w:type="gramEnd"/>
      <w:r>
        <w:t xml:space="preserve"> data (the GP electronic health record) have THE responsibility to look after the patient’s record</w:t>
      </w:r>
      <w:r w:rsidRPr="002F1F4A">
        <w:t>. We are responsible for ensuring our processing – including any processing carried out by a processor on your behalf – complies with the UK GDPR</w:t>
      </w:r>
      <w:r>
        <w:t xml:space="preserve"> (</w:t>
      </w:r>
      <w:hyperlink r:id="rId13" w:history="1">
        <w:r w:rsidR="00EF7104" w:rsidRPr="002577D3">
          <w:rPr>
            <w:rStyle w:val="Hyperlink"/>
          </w:rPr>
          <w:t>https://ico.org.uk/for-organisations/uk-gdpr-guidance-and-resources/controllers-and-processors/controllers-and-processors/what-does-it-mean-if-you-are-a-controller/</w:t>
        </w:r>
      </w:hyperlink>
      <w:r>
        <w:t>)</w:t>
      </w:r>
    </w:p>
    <w:p w14:paraId="31CF3C8B" w14:textId="77777777" w:rsidR="00EF7104" w:rsidRDefault="00EF7104"/>
    <w:p w14:paraId="1B94D929" w14:textId="12C8E709" w:rsidR="00EF7104" w:rsidRDefault="00EF7104" w:rsidP="00EF7104">
      <w:r w:rsidRPr="00EF7104">
        <w:t xml:space="preserve">If </w:t>
      </w:r>
      <w:r>
        <w:t>we complete</w:t>
      </w:r>
      <w:r w:rsidRPr="00EF7104">
        <w:t xml:space="preserve"> a DPIA, take actions to mitigate risks and determine that any</w:t>
      </w:r>
      <w:r>
        <w:t xml:space="preserve"> </w:t>
      </w:r>
      <w:r w:rsidRPr="00EF7104">
        <w:t xml:space="preserve">remaining risks are acceptable then </w:t>
      </w:r>
      <w:r>
        <w:t>we</w:t>
      </w:r>
      <w:r w:rsidRPr="00EF7104">
        <w:t xml:space="preserve"> have fulfilled </w:t>
      </w:r>
      <w:r>
        <w:t>our</w:t>
      </w:r>
      <w:r w:rsidRPr="00EF7104">
        <w:t xml:space="preserve"> duty to complete a DPIA. However, as</w:t>
      </w:r>
      <w:r>
        <w:t xml:space="preserve"> </w:t>
      </w:r>
      <w:r w:rsidRPr="00EF7104">
        <w:t xml:space="preserve">data controllers, GPs have an ongoing responsibility to comply with </w:t>
      </w:r>
      <w:r>
        <w:t>our</w:t>
      </w:r>
      <w:r w:rsidRPr="00EF7104">
        <w:t xml:space="preserve"> general duties under data</w:t>
      </w:r>
      <w:r>
        <w:t xml:space="preserve"> </w:t>
      </w:r>
      <w:r w:rsidRPr="00EF7104">
        <w:t>protection law, so processing must always be carried out in accordance with those duties.</w:t>
      </w:r>
    </w:p>
    <w:p w14:paraId="2B13437B" w14:textId="77777777" w:rsidR="007459B3" w:rsidRDefault="007459B3" w:rsidP="00EF7104"/>
    <w:p w14:paraId="41F8A920" w14:textId="77777777" w:rsidR="007459B3" w:rsidRDefault="007459B3" w:rsidP="007459B3">
      <w:r>
        <w:t xml:space="preserve">Once the DPIA has been completed and if we consider the risks of automatic access to prospective records high then we can safely add 104 </w:t>
      </w:r>
    </w:p>
    <w:p w14:paraId="21E1680F" w14:textId="488E2B3F" w:rsidR="007459B3" w:rsidRPr="00EF7104" w:rsidRDefault="007459B3" w:rsidP="00EF7104">
      <w:r>
        <w:t xml:space="preserve">codes to all patients records that have not got full records access and invite all remaining patients to complete the online questionnaire / consent process. A 106 code can then be added that revokes this. Those patients who do not wish to ever have prospective access can have a </w:t>
      </w:r>
      <w:proofErr w:type="gramStart"/>
      <w:r>
        <w:t>103 code</w:t>
      </w:r>
      <w:proofErr w:type="gramEnd"/>
      <w:r>
        <w:t xml:space="preserve"> added.</w:t>
      </w:r>
    </w:p>
    <w:p w14:paraId="54CCB09C" w14:textId="77777777" w:rsidR="002F1F4A" w:rsidRDefault="002F1F4A"/>
    <w:p w14:paraId="63458255" w14:textId="4054108C" w:rsidR="002F1F4A" w:rsidRDefault="00854692">
      <w:r>
        <w:t xml:space="preserve">As this could directly impact patient care and as part of the ethos of the practice to promote a “Partnership of Trust”, I feel we should do this with members of our Patient Participation Group as well as with our Partners </w:t>
      </w:r>
      <w:proofErr w:type="gramStart"/>
      <w:r>
        <w:t>and also</w:t>
      </w:r>
      <w:proofErr w:type="gramEnd"/>
      <w:r>
        <w:t xml:space="preserve"> Practice Manager too.</w:t>
      </w:r>
    </w:p>
    <w:p w14:paraId="0EC82CCE" w14:textId="77777777" w:rsidR="00854692" w:rsidRDefault="00854692"/>
    <w:p w14:paraId="125C59E3" w14:textId="740BA140" w:rsidR="002F1F4A" w:rsidRDefault="00854692">
      <w:r>
        <w:t xml:space="preserve">It is essential you read this BEFORE the meeting tomorrow and complete the exercise yourself to see what you think. There are </w:t>
      </w:r>
      <w:proofErr w:type="gramStart"/>
      <w:r>
        <w:t>a number of</w:t>
      </w:r>
      <w:proofErr w:type="gramEnd"/>
      <w:r>
        <w:t xml:space="preserve"> scenarios that the BMA and their lawyers have put together where things could go wrong resulting in harm. The DPIA is about identifying what we as a practice think is the likelihood of such harm (remote / possible / probable), how severe it may be (minimal / significant / severe) and what the overall risk is (low / medium / high).</w:t>
      </w:r>
      <w:r w:rsidR="00EF7104">
        <w:t xml:space="preserve"> </w:t>
      </w:r>
    </w:p>
    <w:p w14:paraId="1B76FD73" w14:textId="77777777" w:rsidR="00EF7104" w:rsidRDefault="00EF7104"/>
    <w:p w14:paraId="1415F6BC" w14:textId="70B2940F" w:rsidR="00EF7104" w:rsidRDefault="00EF7104">
      <w:r>
        <w:lastRenderedPageBreak/>
        <w:t xml:space="preserve">Below you can see the template and the scenarios we need to consider and below this is the BMA’s answers that they have provided to see how this works. </w:t>
      </w:r>
    </w:p>
    <w:p w14:paraId="4BD4E1B2" w14:textId="77777777" w:rsidR="00854692" w:rsidRDefault="00854692"/>
    <w:tbl>
      <w:tblPr>
        <w:tblStyle w:val="TableGrid"/>
        <w:tblW w:w="5000" w:type="pct"/>
        <w:tblLook w:val="04A0" w:firstRow="1" w:lastRow="0" w:firstColumn="1" w:lastColumn="0" w:noHBand="0" w:noVBand="1"/>
      </w:tblPr>
      <w:tblGrid>
        <w:gridCol w:w="523"/>
        <w:gridCol w:w="5378"/>
        <w:gridCol w:w="2968"/>
        <w:gridCol w:w="2955"/>
        <w:gridCol w:w="2124"/>
      </w:tblGrid>
      <w:tr w:rsidR="00854692" w:rsidRPr="00DE3D81" w14:paraId="1D3A91F4" w14:textId="77777777" w:rsidTr="00F27A90">
        <w:trPr>
          <w:trHeight w:val="57"/>
        </w:trPr>
        <w:tc>
          <w:tcPr>
            <w:tcW w:w="187" w:type="pct"/>
          </w:tcPr>
          <w:p w14:paraId="59761468" w14:textId="77777777" w:rsidR="00854692" w:rsidRPr="00DE3D81" w:rsidRDefault="00854692" w:rsidP="00F27A90">
            <w:pPr>
              <w:pStyle w:val="NoSpacing"/>
              <w:rPr>
                <w:rFonts w:cs="Arial"/>
                <w:b/>
                <w:bCs/>
              </w:rPr>
            </w:pPr>
          </w:p>
        </w:tc>
        <w:tc>
          <w:tcPr>
            <w:tcW w:w="1928" w:type="pct"/>
          </w:tcPr>
          <w:p w14:paraId="21F9C861" w14:textId="77777777" w:rsidR="00854692" w:rsidRPr="00DE3D81" w:rsidRDefault="00854692" w:rsidP="00F27A90">
            <w:pPr>
              <w:pStyle w:val="NoSpacing"/>
              <w:rPr>
                <w:rFonts w:cs="Arial"/>
                <w:b/>
                <w:bCs/>
              </w:rPr>
            </w:pPr>
            <w:r w:rsidRPr="00DE3D81">
              <w:rPr>
                <w:rFonts w:cs="Arial"/>
                <w:b/>
                <w:bCs/>
              </w:rPr>
              <w:t xml:space="preserve">Describe source of risk and nature of potential impact on individuals </w:t>
            </w:r>
          </w:p>
        </w:tc>
        <w:tc>
          <w:tcPr>
            <w:tcW w:w="1064" w:type="pct"/>
          </w:tcPr>
          <w:p w14:paraId="0688E89D" w14:textId="77777777" w:rsidR="00854692" w:rsidRPr="00DE3D81" w:rsidRDefault="00854692" w:rsidP="00F27A90">
            <w:pPr>
              <w:pStyle w:val="NoSpacing"/>
              <w:rPr>
                <w:rFonts w:cs="Arial"/>
                <w:b/>
                <w:bCs/>
              </w:rPr>
            </w:pPr>
            <w:r w:rsidRPr="00DE3D81">
              <w:rPr>
                <w:rFonts w:cs="Arial"/>
                <w:b/>
                <w:bCs/>
              </w:rPr>
              <w:t>Likelihood of harm</w:t>
            </w:r>
          </w:p>
          <w:p w14:paraId="4D508B6D" w14:textId="77777777" w:rsidR="00854692" w:rsidRPr="00DE3D81" w:rsidRDefault="00854692" w:rsidP="00F27A90">
            <w:pPr>
              <w:pStyle w:val="NoSpacing"/>
              <w:rPr>
                <w:rFonts w:cs="Arial"/>
                <w:b/>
                <w:bCs/>
              </w:rPr>
            </w:pPr>
          </w:p>
          <w:p w14:paraId="2601BDE0" w14:textId="77777777" w:rsidR="00854692" w:rsidRPr="00DE3D81" w:rsidRDefault="00854692" w:rsidP="00F27A90">
            <w:pPr>
              <w:pStyle w:val="NoSpacing"/>
              <w:rPr>
                <w:rFonts w:cs="Arial"/>
              </w:rPr>
            </w:pPr>
            <w:r w:rsidRPr="00DE3D81">
              <w:rPr>
                <w:rFonts w:cs="Arial"/>
              </w:rPr>
              <w:t>(Remote/Possible/Probable)</w:t>
            </w:r>
          </w:p>
        </w:tc>
        <w:tc>
          <w:tcPr>
            <w:tcW w:w="1059" w:type="pct"/>
          </w:tcPr>
          <w:p w14:paraId="2BDDF5B8" w14:textId="77777777" w:rsidR="00854692" w:rsidRPr="00DE3D81" w:rsidRDefault="00854692" w:rsidP="00F27A90">
            <w:pPr>
              <w:pStyle w:val="NoSpacing"/>
              <w:rPr>
                <w:rFonts w:cs="Arial"/>
                <w:b/>
                <w:bCs/>
              </w:rPr>
            </w:pPr>
            <w:r w:rsidRPr="00DE3D81">
              <w:rPr>
                <w:rFonts w:cs="Arial"/>
                <w:b/>
                <w:bCs/>
              </w:rPr>
              <w:t>Severity of harm</w:t>
            </w:r>
          </w:p>
          <w:p w14:paraId="7D286849" w14:textId="77777777" w:rsidR="00854692" w:rsidRPr="00DE3D81" w:rsidRDefault="00854692" w:rsidP="00F27A90">
            <w:pPr>
              <w:pStyle w:val="NoSpacing"/>
              <w:rPr>
                <w:rFonts w:cs="Arial"/>
                <w:b/>
                <w:bCs/>
              </w:rPr>
            </w:pPr>
          </w:p>
          <w:p w14:paraId="1235AD90" w14:textId="77777777" w:rsidR="00854692" w:rsidRPr="00DE3D81" w:rsidRDefault="00854692" w:rsidP="00F27A90">
            <w:pPr>
              <w:pStyle w:val="NoSpacing"/>
              <w:rPr>
                <w:rFonts w:cs="Arial"/>
              </w:rPr>
            </w:pPr>
            <w:r w:rsidRPr="00DE3D81">
              <w:rPr>
                <w:rFonts w:cs="Arial"/>
              </w:rPr>
              <w:t>(Minimal/Significant/Severe)</w:t>
            </w:r>
          </w:p>
        </w:tc>
        <w:tc>
          <w:tcPr>
            <w:tcW w:w="761" w:type="pct"/>
          </w:tcPr>
          <w:p w14:paraId="3050164D" w14:textId="77777777" w:rsidR="00854692" w:rsidRPr="00DE3D81" w:rsidRDefault="00854692" w:rsidP="00F27A90">
            <w:pPr>
              <w:pStyle w:val="NoSpacing"/>
              <w:rPr>
                <w:rFonts w:cs="Arial"/>
                <w:b/>
                <w:bCs/>
              </w:rPr>
            </w:pPr>
            <w:r w:rsidRPr="00DE3D81">
              <w:rPr>
                <w:rFonts w:cs="Arial"/>
                <w:b/>
                <w:bCs/>
              </w:rPr>
              <w:t>Overall risk</w:t>
            </w:r>
          </w:p>
          <w:p w14:paraId="0B74492A" w14:textId="77777777" w:rsidR="00854692" w:rsidRPr="00DE3D81" w:rsidRDefault="00854692" w:rsidP="00F27A90">
            <w:pPr>
              <w:pStyle w:val="NoSpacing"/>
              <w:rPr>
                <w:rFonts w:cs="Arial"/>
              </w:rPr>
            </w:pPr>
          </w:p>
          <w:p w14:paraId="072784C9" w14:textId="77777777" w:rsidR="00854692" w:rsidRPr="00DE3D81" w:rsidRDefault="00854692" w:rsidP="00F27A90">
            <w:pPr>
              <w:pStyle w:val="NoSpacing"/>
              <w:rPr>
                <w:rFonts w:cs="Arial"/>
              </w:rPr>
            </w:pPr>
            <w:r w:rsidRPr="00DE3D81">
              <w:rPr>
                <w:rFonts w:cs="Arial"/>
              </w:rPr>
              <w:t>(Low/Medium/High)</w:t>
            </w:r>
          </w:p>
          <w:p w14:paraId="121DD329" w14:textId="77777777" w:rsidR="00854692" w:rsidRPr="00DE3D81" w:rsidRDefault="00854692" w:rsidP="00F27A90">
            <w:pPr>
              <w:pStyle w:val="NoSpacing"/>
              <w:rPr>
                <w:rFonts w:cs="Arial"/>
              </w:rPr>
            </w:pPr>
          </w:p>
        </w:tc>
      </w:tr>
      <w:tr w:rsidR="00854692" w:rsidRPr="00DE3D81" w14:paraId="1829B25D" w14:textId="77777777" w:rsidTr="00F27A90">
        <w:trPr>
          <w:trHeight w:val="57"/>
        </w:trPr>
        <w:tc>
          <w:tcPr>
            <w:tcW w:w="187" w:type="pct"/>
          </w:tcPr>
          <w:p w14:paraId="6AFE111C" w14:textId="77777777" w:rsidR="00854692" w:rsidRPr="00DE3D81" w:rsidRDefault="00854692" w:rsidP="00F27A90">
            <w:pPr>
              <w:pStyle w:val="NoSpacing"/>
              <w:rPr>
                <w:rFonts w:cs="Arial"/>
              </w:rPr>
            </w:pPr>
            <w:r w:rsidRPr="00DE3D81">
              <w:rPr>
                <w:rFonts w:cs="Arial"/>
              </w:rPr>
              <w:t>1.</w:t>
            </w:r>
          </w:p>
        </w:tc>
        <w:tc>
          <w:tcPr>
            <w:tcW w:w="1928" w:type="pct"/>
          </w:tcPr>
          <w:p w14:paraId="2FE34659" w14:textId="77777777" w:rsidR="00854692" w:rsidRPr="00DE3D81" w:rsidRDefault="00854692" w:rsidP="00F27A90">
            <w:pPr>
              <w:pStyle w:val="NoSpacing"/>
              <w:rPr>
                <w:rFonts w:cs="Arial"/>
              </w:rPr>
            </w:pPr>
            <w:r w:rsidRPr="00DE3D81">
              <w:rPr>
                <w:rFonts w:cs="Arial"/>
                <w:u w:val="single"/>
              </w:rPr>
              <w:t>Risk of misfiling and inaccuracies within patient record</w:t>
            </w:r>
            <w:r w:rsidRPr="00DE3D81">
              <w:rPr>
                <w:rFonts w:cs="Arial"/>
              </w:rPr>
              <w:t xml:space="preserve">: </w:t>
            </w:r>
          </w:p>
          <w:p w14:paraId="3D0EA2D1" w14:textId="77777777" w:rsidR="00854692" w:rsidRPr="00DE3D81" w:rsidRDefault="00854692" w:rsidP="00F27A90">
            <w:pPr>
              <w:pStyle w:val="NoSpacing"/>
              <w:rPr>
                <w:rFonts w:cs="Arial"/>
              </w:rPr>
            </w:pPr>
          </w:p>
          <w:p w14:paraId="758907A3" w14:textId="77777777" w:rsidR="00854692" w:rsidRPr="00DE3D81" w:rsidRDefault="00854692" w:rsidP="00F27A90">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24F6DEA5" w14:textId="77777777" w:rsidR="00854692" w:rsidRPr="00DE3D81" w:rsidRDefault="00854692" w:rsidP="00F27A90">
            <w:pPr>
              <w:pStyle w:val="NoSpacing"/>
              <w:rPr>
                <w:rFonts w:cs="Arial"/>
              </w:rPr>
            </w:pPr>
          </w:p>
          <w:p w14:paraId="2DC81F1B" w14:textId="77777777" w:rsidR="00854692" w:rsidRPr="00DE3D81" w:rsidRDefault="00854692" w:rsidP="00F27A90">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715E2D5E" w14:textId="77777777" w:rsidR="00854692" w:rsidRPr="00DE3D81" w:rsidRDefault="00854692" w:rsidP="00F27A90">
            <w:pPr>
              <w:pStyle w:val="NoSpacing"/>
              <w:rPr>
                <w:rFonts w:cs="Arial"/>
              </w:rPr>
            </w:pPr>
          </w:p>
        </w:tc>
        <w:tc>
          <w:tcPr>
            <w:tcW w:w="1064" w:type="pct"/>
          </w:tcPr>
          <w:p w14:paraId="44FF51D4" w14:textId="77777777" w:rsidR="00854692" w:rsidRPr="00DE3D81" w:rsidRDefault="00854692" w:rsidP="00F27A90">
            <w:pPr>
              <w:pStyle w:val="NoSpacing"/>
              <w:rPr>
                <w:rFonts w:cs="Arial"/>
              </w:rPr>
            </w:pPr>
            <w:r w:rsidRPr="00DE3D81">
              <w:rPr>
                <w:rFonts w:cs="Arial"/>
              </w:rPr>
              <w:t>Possible or probable</w:t>
            </w:r>
          </w:p>
        </w:tc>
        <w:tc>
          <w:tcPr>
            <w:tcW w:w="1059" w:type="pct"/>
          </w:tcPr>
          <w:p w14:paraId="11F31466" w14:textId="77777777" w:rsidR="00854692" w:rsidRPr="00DE3D81" w:rsidRDefault="00854692" w:rsidP="00F27A90">
            <w:pPr>
              <w:pStyle w:val="NoSpacing"/>
              <w:rPr>
                <w:rFonts w:cs="Arial"/>
              </w:rPr>
            </w:pPr>
            <w:r w:rsidRPr="00DE3D81">
              <w:rPr>
                <w:rFonts w:cs="Arial"/>
              </w:rPr>
              <w:t>Significant or severe</w:t>
            </w:r>
          </w:p>
        </w:tc>
        <w:tc>
          <w:tcPr>
            <w:tcW w:w="761" w:type="pct"/>
          </w:tcPr>
          <w:p w14:paraId="3562537D" w14:textId="77777777" w:rsidR="00854692" w:rsidRPr="00DE3D81" w:rsidRDefault="00854692" w:rsidP="00F27A90">
            <w:pPr>
              <w:pStyle w:val="NoSpacing"/>
              <w:rPr>
                <w:rFonts w:cs="Arial"/>
              </w:rPr>
            </w:pPr>
            <w:r w:rsidRPr="00DE3D81">
              <w:rPr>
                <w:rFonts w:cs="Arial"/>
              </w:rPr>
              <w:t>Medium to high</w:t>
            </w:r>
          </w:p>
        </w:tc>
      </w:tr>
      <w:tr w:rsidR="00854692" w:rsidRPr="00DE3D81" w14:paraId="59174202" w14:textId="77777777" w:rsidTr="00F27A90">
        <w:trPr>
          <w:trHeight w:val="57"/>
        </w:trPr>
        <w:tc>
          <w:tcPr>
            <w:tcW w:w="187" w:type="pct"/>
          </w:tcPr>
          <w:p w14:paraId="12AC45FF" w14:textId="77777777" w:rsidR="00854692" w:rsidRPr="00DE3D81" w:rsidRDefault="00854692" w:rsidP="00F27A90">
            <w:pPr>
              <w:pStyle w:val="NoSpacing"/>
              <w:rPr>
                <w:rFonts w:cs="Arial"/>
              </w:rPr>
            </w:pPr>
            <w:r w:rsidRPr="00DE3D81">
              <w:rPr>
                <w:rFonts w:cs="Arial"/>
              </w:rPr>
              <w:t xml:space="preserve">2. </w:t>
            </w:r>
          </w:p>
        </w:tc>
        <w:tc>
          <w:tcPr>
            <w:tcW w:w="1928" w:type="pct"/>
          </w:tcPr>
          <w:p w14:paraId="7606018E" w14:textId="77777777" w:rsidR="00854692" w:rsidRPr="00DE3D81" w:rsidRDefault="00854692" w:rsidP="00F27A90">
            <w:pPr>
              <w:pStyle w:val="NoSpacing"/>
              <w:rPr>
                <w:rFonts w:cs="Arial"/>
                <w:u w:val="single"/>
              </w:rPr>
            </w:pPr>
            <w:r w:rsidRPr="00DE3D81">
              <w:rPr>
                <w:rFonts w:cs="Arial"/>
                <w:u w:val="single"/>
              </w:rPr>
              <w:t>Risks to children and vulnerable patients</w:t>
            </w:r>
            <w:r w:rsidRPr="00DE3D81">
              <w:rPr>
                <w:rFonts w:cs="Arial"/>
              </w:rPr>
              <w:t>:</w:t>
            </w:r>
          </w:p>
          <w:p w14:paraId="5F768E15" w14:textId="77777777" w:rsidR="00854692" w:rsidRPr="00DE3D81" w:rsidRDefault="00854692" w:rsidP="00F27A90">
            <w:pPr>
              <w:pStyle w:val="NoSpacing"/>
              <w:rPr>
                <w:rFonts w:cs="Arial"/>
                <w:u w:val="single"/>
              </w:rPr>
            </w:pPr>
          </w:p>
          <w:p w14:paraId="6235B23D" w14:textId="77777777" w:rsidR="00854692" w:rsidRPr="00DE3D81" w:rsidRDefault="00854692" w:rsidP="00F27A90">
            <w:pPr>
              <w:pStyle w:val="NoSpacing"/>
              <w:rPr>
                <w:rFonts w:cs="Arial"/>
              </w:rPr>
            </w:pPr>
            <w:r w:rsidRPr="00DE3D81">
              <w:rPr>
                <w:rFonts w:cs="Arial"/>
              </w:rPr>
              <w:t xml:space="preserve">Children and vulnerable patients have </w:t>
            </w:r>
            <w:proofErr w:type="gramStart"/>
            <w:r w:rsidRPr="00DE3D81">
              <w:rPr>
                <w:rFonts w:cs="Arial"/>
              </w:rPr>
              <w:t>particular risks</w:t>
            </w:r>
            <w:proofErr w:type="gramEnd"/>
            <w:r w:rsidRPr="00DE3D81">
              <w:rPr>
                <w:rFonts w:cs="Arial"/>
              </w:rPr>
              <w:t xml:space="preserve"> which are set out below: </w:t>
            </w:r>
          </w:p>
          <w:p w14:paraId="4103BC9B" w14:textId="77777777" w:rsidR="00854692" w:rsidRPr="00DE3D81" w:rsidRDefault="00854692" w:rsidP="00F27A90">
            <w:pPr>
              <w:pStyle w:val="NoSpacing"/>
              <w:rPr>
                <w:rFonts w:cs="Arial"/>
              </w:rPr>
            </w:pPr>
          </w:p>
          <w:p w14:paraId="4767561B" w14:textId="77777777" w:rsidR="00854692" w:rsidRPr="00DE3D81" w:rsidRDefault="00854692" w:rsidP="00F27A90">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w:t>
            </w:r>
            <w:proofErr w:type="gramStart"/>
            <w:r w:rsidRPr="00DE3D81">
              <w:rPr>
                <w:rFonts w:cs="Arial"/>
              </w:rPr>
              <w:t>a number of</w:t>
            </w:r>
            <w:proofErr w:type="gramEnd"/>
            <w:r w:rsidRPr="00DE3D81">
              <w:rPr>
                <w:rFonts w:cs="Arial"/>
              </w:rPr>
              <w:t xml:space="preserve"> risks associated with this, for example: </w:t>
            </w:r>
          </w:p>
          <w:p w14:paraId="625F34CE" w14:textId="77777777" w:rsidR="00854692" w:rsidRPr="00DE3D81" w:rsidRDefault="00854692" w:rsidP="00F27A90">
            <w:pPr>
              <w:pStyle w:val="NoSpacing"/>
              <w:rPr>
                <w:rFonts w:cs="Arial"/>
              </w:rPr>
            </w:pPr>
          </w:p>
          <w:p w14:paraId="7979AB5C" w14:textId="77777777" w:rsidR="00854692" w:rsidRPr="00DE3D81" w:rsidRDefault="00854692" w:rsidP="00854692">
            <w:pPr>
              <w:pStyle w:val="NoSpacing"/>
              <w:numPr>
                <w:ilvl w:val="0"/>
                <w:numId w:val="1"/>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w:t>
            </w:r>
            <w:proofErr w:type="gramStart"/>
            <w:r w:rsidRPr="00DE3D81">
              <w:rPr>
                <w:rFonts w:cs="Arial"/>
              </w:rPr>
              <w:t>inappropriate;</w:t>
            </w:r>
            <w:proofErr w:type="gramEnd"/>
            <w:r w:rsidRPr="00DE3D81">
              <w:rPr>
                <w:rFonts w:cs="Arial"/>
              </w:rPr>
              <w:t xml:space="preserve"> </w:t>
            </w:r>
          </w:p>
          <w:p w14:paraId="4BAFD12C" w14:textId="77777777" w:rsidR="00854692" w:rsidRPr="00DE3D81" w:rsidRDefault="00854692" w:rsidP="00F27A90">
            <w:pPr>
              <w:pStyle w:val="NoSpacing"/>
              <w:ind w:left="1080"/>
              <w:rPr>
                <w:rFonts w:cs="Arial"/>
              </w:rPr>
            </w:pPr>
          </w:p>
          <w:p w14:paraId="32F85C6D" w14:textId="77777777" w:rsidR="00854692" w:rsidRPr="00DE3D81" w:rsidRDefault="00854692" w:rsidP="00854692">
            <w:pPr>
              <w:pStyle w:val="NoSpacing"/>
              <w:numPr>
                <w:ilvl w:val="0"/>
                <w:numId w:val="1"/>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w:t>
            </w:r>
            <w:proofErr w:type="gramStart"/>
            <w:r w:rsidRPr="00DE3D81">
              <w:rPr>
                <w:rFonts w:cs="Arial"/>
              </w:rPr>
              <w:t>elsewhere;</w:t>
            </w:r>
            <w:proofErr w:type="gramEnd"/>
            <w:r w:rsidRPr="00DE3D81">
              <w:rPr>
                <w:rFonts w:cs="Arial"/>
              </w:rPr>
              <w:t xml:space="preserve"> </w:t>
            </w:r>
          </w:p>
          <w:p w14:paraId="7CFE9A76" w14:textId="77777777" w:rsidR="00854692" w:rsidRPr="00DE3D81" w:rsidRDefault="00854692" w:rsidP="00F27A90">
            <w:pPr>
              <w:pStyle w:val="NoSpacing"/>
              <w:rPr>
                <w:rFonts w:cs="Arial"/>
              </w:rPr>
            </w:pPr>
          </w:p>
          <w:p w14:paraId="4E788B0A" w14:textId="77777777" w:rsidR="00854692" w:rsidRPr="00DE3D81" w:rsidRDefault="00854692" w:rsidP="00854692">
            <w:pPr>
              <w:pStyle w:val="NoSpacing"/>
              <w:numPr>
                <w:ilvl w:val="0"/>
                <w:numId w:val="1"/>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017AE750" w14:textId="77777777" w:rsidR="00854692" w:rsidRPr="00DE3D81" w:rsidRDefault="00854692" w:rsidP="00F27A90">
            <w:pPr>
              <w:pStyle w:val="ListParagraph"/>
              <w:rPr>
                <w:rFonts w:cs="Arial"/>
              </w:rPr>
            </w:pPr>
          </w:p>
          <w:p w14:paraId="63089205" w14:textId="77777777" w:rsidR="00854692" w:rsidRPr="00DE3D81" w:rsidRDefault="00854692" w:rsidP="00F27A90">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w:t>
            </w:r>
            <w:proofErr w:type="gramStart"/>
            <w:r w:rsidRPr="00DE3D81">
              <w:rPr>
                <w:rFonts w:cs="Arial"/>
              </w:rPr>
              <w:t>particular issues</w:t>
            </w:r>
            <w:proofErr w:type="gramEnd"/>
            <w:r w:rsidRPr="00DE3D81">
              <w:rPr>
                <w:rFonts w:cs="Arial"/>
              </w:rPr>
              <w:t xml:space="preserve"> to their GP or reporting it and suffering the negative consequences from their abuser. This has potential to have a serious impact on the patient/doctor relationship and the confidence of patients to disclose issues of a deeply personal nature to their GP.</w:t>
            </w:r>
          </w:p>
          <w:p w14:paraId="5AD6BF3B" w14:textId="77777777" w:rsidR="00854692" w:rsidRPr="00DE3D81" w:rsidRDefault="00854692" w:rsidP="00F27A90">
            <w:pPr>
              <w:pStyle w:val="NoSpacing"/>
              <w:rPr>
                <w:rFonts w:cs="Arial"/>
              </w:rPr>
            </w:pPr>
          </w:p>
          <w:p w14:paraId="7B731192" w14:textId="77777777" w:rsidR="00854692" w:rsidRPr="00DE3D81" w:rsidRDefault="00854692" w:rsidP="00F27A90">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087617C3" w14:textId="77777777" w:rsidR="00854692" w:rsidRPr="00DE3D81" w:rsidRDefault="00854692" w:rsidP="00F27A90">
            <w:pPr>
              <w:pStyle w:val="NoSpacing"/>
              <w:rPr>
                <w:rFonts w:cs="Arial"/>
                <w:u w:val="single"/>
              </w:rPr>
            </w:pPr>
          </w:p>
        </w:tc>
        <w:tc>
          <w:tcPr>
            <w:tcW w:w="1064" w:type="pct"/>
          </w:tcPr>
          <w:p w14:paraId="357A41EC" w14:textId="77777777" w:rsidR="00854692" w:rsidRPr="00DE3D81" w:rsidRDefault="00854692" w:rsidP="00F27A90">
            <w:pPr>
              <w:pStyle w:val="NoSpacing"/>
              <w:rPr>
                <w:rFonts w:cs="Arial"/>
              </w:rPr>
            </w:pPr>
          </w:p>
          <w:p w14:paraId="2E3FC969" w14:textId="77777777" w:rsidR="00854692" w:rsidRPr="00DE3D81" w:rsidRDefault="00854692" w:rsidP="00F27A90">
            <w:pPr>
              <w:pStyle w:val="NoSpacing"/>
              <w:rPr>
                <w:rFonts w:cs="Arial"/>
              </w:rPr>
            </w:pPr>
          </w:p>
          <w:p w14:paraId="601E9058" w14:textId="77777777" w:rsidR="00854692" w:rsidRPr="00DE3D81" w:rsidRDefault="00854692" w:rsidP="00F27A90">
            <w:pPr>
              <w:pStyle w:val="NoSpacing"/>
              <w:rPr>
                <w:rFonts w:cs="Arial"/>
              </w:rPr>
            </w:pPr>
          </w:p>
          <w:p w14:paraId="0F945996" w14:textId="77777777" w:rsidR="00854692" w:rsidRPr="00DE3D81" w:rsidRDefault="00854692" w:rsidP="00F27A90">
            <w:pPr>
              <w:pStyle w:val="NoSpacing"/>
              <w:rPr>
                <w:rFonts w:cs="Arial"/>
              </w:rPr>
            </w:pPr>
          </w:p>
          <w:p w14:paraId="493D8C42" w14:textId="77777777" w:rsidR="00854692" w:rsidRPr="00DE3D81" w:rsidRDefault="00854692" w:rsidP="00F27A90">
            <w:pPr>
              <w:pStyle w:val="NoSpacing"/>
              <w:rPr>
                <w:rFonts w:cs="Arial"/>
              </w:rPr>
            </w:pPr>
          </w:p>
          <w:p w14:paraId="593AA5BA" w14:textId="77777777" w:rsidR="00854692" w:rsidRPr="00DE3D81" w:rsidRDefault="00854692" w:rsidP="00F27A90">
            <w:pPr>
              <w:pStyle w:val="NoSpacing"/>
              <w:rPr>
                <w:rFonts w:cs="Arial"/>
              </w:rPr>
            </w:pPr>
          </w:p>
          <w:p w14:paraId="39F4C409" w14:textId="77777777" w:rsidR="00854692" w:rsidRPr="00DE3D81" w:rsidRDefault="00854692" w:rsidP="00F27A90">
            <w:pPr>
              <w:pStyle w:val="NoSpacing"/>
              <w:rPr>
                <w:rFonts w:cs="Arial"/>
              </w:rPr>
            </w:pPr>
          </w:p>
          <w:p w14:paraId="7E116395" w14:textId="77777777" w:rsidR="00854692" w:rsidRPr="00DE3D81" w:rsidRDefault="00854692" w:rsidP="00F27A90">
            <w:pPr>
              <w:pStyle w:val="NoSpacing"/>
              <w:rPr>
                <w:rFonts w:cs="Arial"/>
              </w:rPr>
            </w:pPr>
          </w:p>
          <w:p w14:paraId="7C2654EB" w14:textId="77777777" w:rsidR="00854692" w:rsidRPr="00DE3D81" w:rsidRDefault="00854692" w:rsidP="00F27A90">
            <w:pPr>
              <w:pStyle w:val="NoSpacing"/>
              <w:rPr>
                <w:rFonts w:cs="Arial"/>
              </w:rPr>
            </w:pPr>
          </w:p>
          <w:p w14:paraId="6594BD12" w14:textId="77777777" w:rsidR="00854692" w:rsidRPr="00DE3D81" w:rsidRDefault="00854692" w:rsidP="00F27A90">
            <w:pPr>
              <w:pStyle w:val="NoSpacing"/>
              <w:rPr>
                <w:rFonts w:cs="Arial"/>
              </w:rPr>
            </w:pPr>
          </w:p>
          <w:p w14:paraId="16264591" w14:textId="77777777" w:rsidR="00854692" w:rsidRPr="00DE3D81" w:rsidRDefault="00854692" w:rsidP="00F27A90">
            <w:pPr>
              <w:pStyle w:val="NoSpacing"/>
              <w:rPr>
                <w:rFonts w:cs="Arial"/>
              </w:rPr>
            </w:pPr>
          </w:p>
          <w:p w14:paraId="55477FFA" w14:textId="77777777" w:rsidR="00854692" w:rsidRPr="00DE3D81" w:rsidRDefault="00854692" w:rsidP="00F27A90">
            <w:pPr>
              <w:pStyle w:val="NoSpacing"/>
              <w:rPr>
                <w:rFonts w:cs="Arial"/>
              </w:rPr>
            </w:pPr>
          </w:p>
          <w:p w14:paraId="33056B6B" w14:textId="77777777" w:rsidR="00854692" w:rsidRPr="00DE3D81" w:rsidRDefault="00854692" w:rsidP="00F27A90">
            <w:pPr>
              <w:pStyle w:val="NoSpacing"/>
              <w:rPr>
                <w:rFonts w:cs="Arial"/>
              </w:rPr>
            </w:pPr>
          </w:p>
          <w:p w14:paraId="71F6BA4A" w14:textId="77777777" w:rsidR="00854692" w:rsidRPr="00DE3D81" w:rsidRDefault="00854692" w:rsidP="00F27A90">
            <w:pPr>
              <w:pStyle w:val="NoSpacing"/>
              <w:rPr>
                <w:rFonts w:cs="Arial"/>
              </w:rPr>
            </w:pPr>
            <w:r w:rsidRPr="00DE3D81">
              <w:rPr>
                <w:rFonts w:cs="Arial"/>
              </w:rPr>
              <w:t>Possible</w:t>
            </w:r>
          </w:p>
          <w:p w14:paraId="2155A198" w14:textId="77777777" w:rsidR="00854692" w:rsidRPr="00DE3D81" w:rsidRDefault="00854692" w:rsidP="00F27A90">
            <w:pPr>
              <w:pStyle w:val="NoSpacing"/>
              <w:rPr>
                <w:rFonts w:cs="Arial"/>
              </w:rPr>
            </w:pPr>
          </w:p>
          <w:p w14:paraId="6D250FAB" w14:textId="77777777" w:rsidR="00854692" w:rsidRPr="00DE3D81" w:rsidRDefault="00854692" w:rsidP="00F27A90">
            <w:pPr>
              <w:pStyle w:val="NoSpacing"/>
              <w:rPr>
                <w:rFonts w:cs="Arial"/>
              </w:rPr>
            </w:pPr>
          </w:p>
          <w:p w14:paraId="41D70FF4" w14:textId="77777777" w:rsidR="00854692" w:rsidRPr="00DE3D81" w:rsidRDefault="00854692" w:rsidP="00F27A90">
            <w:pPr>
              <w:pStyle w:val="NoSpacing"/>
              <w:rPr>
                <w:rFonts w:cs="Arial"/>
              </w:rPr>
            </w:pPr>
          </w:p>
          <w:p w14:paraId="728BCECA" w14:textId="77777777" w:rsidR="00854692" w:rsidRPr="00DE3D81" w:rsidRDefault="00854692" w:rsidP="00F27A90">
            <w:pPr>
              <w:pStyle w:val="NoSpacing"/>
              <w:rPr>
                <w:rFonts w:cs="Arial"/>
              </w:rPr>
            </w:pPr>
          </w:p>
          <w:p w14:paraId="788922B3" w14:textId="77777777" w:rsidR="00854692" w:rsidRPr="00DE3D81" w:rsidRDefault="00854692" w:rsidP="00F27A90">
            <w:pPr>
              <w:pStyle w:val="NoSpacing"/>
              <w:rPr>
                <w:rFonts w:cs="Arial"/>
              </w:rPr>
            </w:pPr>
          </w:p>
          <w:p w14:paraId="40052F07" w14:textId="77777777" w:rsidR="00854692" w:rsidRPr="00DE3D81" w:rsidRDefault="00854692" w:rsidP="00F27A90">
            <w:pPr>
              <w:pStyle w:val="NoSpacing"/>
              <w:rPr>
                <w:rFonts w:cs="Arial"/>
              </w:rPr>
            </w:pPr>
          </w:p>
          <w:p w14:paraId="21E9FF14" w14:textId="77777777" w:rsidR="00854692" w:rsidRPr="00DE3D81" w:rsidRDefault="00854692" w:rsidP="00F27A90">
            <w:pPr>
              <w:pStyle w:val="NoSpacing"/>
              <w:rPr>
                <w:rFonts w:cs="Arial"/>
              </w:rPr>
            </w:pPr>
          </w:p>
          <w:p w14:paraId="28EB6C72" w14:textId="77777777" w:rsidR="00854692" w:rsidRPr="00DE3D81" w:rsidRDefault="00854692" w:rsidP="00F27A90">
            <w:pPr>
              <w:pStyle w:val="NoSpacing"/>
              <w:rPr>
                <w:rFonts w:cs="Arial"/>
              </w:rPr>
            </w:pPr>
            <w:r w:rsidRPr="00DE3D81">
              <w:rPr>
                <w:rFonts w:cs="Arial"/>
              </w:rPr>
              <w:t>Possible or probable</w:t>
            </w:r>
          </w:p>
          <w:p w14:paraId="6AAC2482" w14:textId="77777777" w:rsidR="00854692" w:rsidRPr="00DE3D81" w:rsidRDefault="00854692" w:rsidP="00F27A90">
            <w:pPr>
              <w:pStyle w:val="NoSpacing"/>
              <w:rPr>
                <w:rFonts w:cs="Arial"/>
              </w:rPr>
            </w:pPr>
          </w:p>
          <w:p w14:paraId="690179EC" w14:textId="77777777" w:rsidR="00854692" w:rsidRPr="00DE3D81" w:rsidRDefault="00854692" w:rsidP="00F27A90">
            <w:pPr>
              <w:pStyle w:val="NoSpacing"/>
              <w:rPr>
                <w:rFonts w:cs="Arial"/>
              </w:rPr>
            </w:pPr>
          </w:p>
          <w:p w14:paraId="78AF45BF" w14:textId="77777777" w:rsidR="00854692" w:rsidRPr="00DE3D81" w:rsidRDefault="00854692" w:rsidP="00F27A90">
            <w:pPr>
              <w:pStyle w:val="NoSpacing"/>
              <w:rPr>
                <w:rFonts w:cs="Arial"/>
              </w:rPr>
            </w:pPr>
          </w:p>
          <w:p w14:paraId="7713A99E" w14:textId="77777777" w:rsidR="00854692" w:rsidRPr="00DE3D81" w:rsidRDefault="00854692" w:rsidP="00F27A90">
            <w:pPr>
              <w:pStyle w:val="NoSpacing"/>
              <w:rPr>
                <w:rFonts w:cs="Arial"/>
              </w:rPr>
            </w:pPr>
          </w:p>
          <w:p w14:paraId="485F0EB4" w14:textId="77777777" w:rsidR="00854692" w:rsidRPr="00DE3D81" w:rsidRDefault="00854692" w:rsidP="00F27A90">
            <w:pPr>
              <w:pStyle w:val="NoSpacing"/>
              <w:rPr>
                <w:rFonts w:cs="Arial"/>
              </w:rPr>
            </w:pPr>
          </w:p>
          <w:p w14:paraId="01C3F66C" w14:textId="77777777" w:rsidR="00854692" w:rsidRPr="00DE3D81" w:rsidRDefault="00854692" w:rsidP="00F27A90">
            <w:pPr>
              <w:pStyle w:val="NoSpacing"/>
              <w:rPr>
                <w:rFonts w:cs="Arial"/>
              </w:rPr>
            </w:pPr>
          </w:p>
          <w:p w14:paraId="55D13758" w14:textId="77777777" w:rsidR="00854692" w:rsidRPr="00DE3D81" w:rsidRDefault="00854692" w:rsidP="00F27A90">
            <w:pPr>
              <w:pStyle w:val="NoSpacing"/>
              <w:rPr>
                <w:rFonts w:cs="Arial"/>
              </w:rPr>
            </w:pPr>
          </w:p>
          <w:p w14:paraId="564507F5" w14:textId="77777777" w:rsidR="00854692" w:rsidRPr="00DE3D81" w:rsidRDefault="00854692" w:rsidP="00F27A90">
            <w:pPr>
              <w:pStyle w:val="NoSpacing"/>
              <w:rPr>
                <w:rFonts w:cs="Arial"/>
              </w:rPr>
            </w:pPr>
          </w:p>
          <w:p w14:paraId="314F1C72" w14:textId="77777777" w:rsidR="00854692" w:rsidRPr="00DE3D81" w:rsidRDefault="00854692" w:rsidP="00F27A90">
            <w:pPr>
              <w:pStyle w:val="NoSpacing"/>
              <w:rPr>
                <w:rFonts w:cs="Arial"/>
              </w:rPr>
            </w:pPr>
          </w:p>
          <w:p w14:paraId="4302FE1B" w14:textId="77777777" w:rsidR="00854692" w:rsidRPr="00DE3D81" w:rsidRDefault="00854692" w:rsidP="00F27A90">
            <w:pPr>
              <w:pStyle w:val="NoSpacing"/>
              <w:rPr>
                <w:rFonts w:cs="Arial"/>
              </w:rPr>
            </w:pPr>
          </w:p>
          <w:p w14:paraId="64DB3097" w14:textId="77777777" w:rsidR="00854692" w:rsidRPr="00DE3D81" w:rsidRDefault="00854692" w:rsidP="00F27A90">
            <w:pPr>
              <w:pStyle w:val="NoSpacing"/>
              <w:rPr>
                <w:rFonts w:cs="Arial"/>
              </w:rPr>
            </w:pPr>
          </w:p>
          <w:p w14:paraId="47E40871" w14:textId="77777777" w:rsidR="00854692" w:rsidRDefault="00854692" w:rsidP="00F27A90">
            <w:pPr>
              <w:pStyle w:val="NoSpacing"/>
              <w:rPr>
                <w:rFonts w:cs="Arial"/>
              </w:rPr>
            </w:pPr>
          </w:p>
          <w:p w14:paraId="1224ACFF" w14:textId="77777777" w:rsidR="00854692" w:rsidRPr="00DE3D81" w:rsidRDefault="00854692" w:rsidP="00F27A90">
            <w:pPr>
              <w:pStyle w:val="NoSpacing"/>
              <w:rPr>
                <w:rFonts w:cs="Arial"/>
              </w:rPr>
            </w:pPr>
            <w:r w:rsidRPr="00DE3D81">
              <w:rPr>
                <w:rFonts w:cs="Arial"/>
              </w:rPr>
              <w:t>Possible</w:t>
            </w:r>
          </w:p>
          <w:p w14:paraId="240D733A" w14:textId="77777777" w:rsidR="00854692" w:rsidRPr="00DE3D81" w:rsidRDefault="00854692" w:rsidP="00F27A90">
            <w:pPr>
              <w:pStyle w:val="NoSpacing"/>
              <w:rPr>
                <w:rFonts w:cs="Arial"/>
              </w:rPr>
            </w:pPr>
          </w:p>
          <w:p w14:paraId="330A4193" w14:textId="77777777" w:rsidR="00854692" w:rsidRPr="00DE3D81" w:rsidRDefault="00854692" w:rsidP="00F27A90">
            <w:pPr>
              <w:pStyle w:val="NoSpacing"/>
              <w:rPr>
                <w:rFonts w:cs="Arial"/>
              </w:rPr>
            </w:pPr>
          </w:p>
          <w:p w14:paraId="2B828583" w14:textId="77777777" w:rsidR="00854692" w:rsidRDefault="00854692" w:rsidP="00F27A90">
            <w:pPr>
              <w:pStyle w:val="NoSpacing"/>
              <w:rPr>
                <w:rFonts w:cs="Arial"/>
              </w:rPr>
            </w:pPr>
          </w:p>
          <w:p w14:paraId="4948B5A7" w14:textId="77777777" w:rsidR="00854692" w:rsidRDefault="00854692" w:rsidP="00F27A90">
            <w:pPr>
              <w:pStyle w:val="NoSpacing"/>
              <w:rPr>
                <w:rFonts w:cs="Arial"/>
              </w:rPr>
            </w:pPr>
          </w:p>
          <w:p w14:paraId="056D90F4" w14:textId="77777777" w:rsidR="00854692" w:rsidRDefault="00854692" w:rsidP="00F27A90">
            <w:pPr>
              <w:pStyle w:val="NoSpacing"/>
              <w:rPr>
                <w:rFonts w:cs="Arial"/>
              </w:rPr>
            </w:pPr>
          </w:p>
          <w:p w14:paraId="575E867A" w14:textId="77777777" w:rsidR="00854692" w:rsidRDefault="00854692" w:rsidP="00F27A90">
            <w:pPr>
              <w:pStyle w:val="NoSpacing"/>
              <w:rPr>
                <w:rFonts w:cs="Arial"/>
              </w:rPr>
            </w:pPr>
          </w:p>
          <w:p w14:paraId="6059EC1B" w14:textId="77777777" w:rsidR="00854692" w:rsidRDefault="00854692" w:rsidP="00F27A90">
            <w:pPr>
              <w:pStyle w:val="NoSpacing"/>
              <w:rPr>
                <w:rFonts w:cs="Arial"/>
              </w:rPr>
            </w:pPr>
          </w:p>
          <w:p w14:paraId="74C3B653" w14:textId="77777777" w:rsidR="00854692" w:rsidRDefault="00854692" w:rsidP="00F27A90">
            <w:pPr>
              <w:pStyle w:val="NoSpacing"/>
              <w:rPr>
                <w:rFonts w:cs="Arial"/>
              </w:rPr>
            </w:pPr>
          </w:p>
          <w:p w14:paraId="13368B49" w14:textId="77777777" w:rsidR="00854692" w:rsidRDefault="00854692" w:rsidP="00F27A90">
            <w:pPr>
              <w:pStyle w:val="NoSpacing"/>
              <w:rPr>
                <w:rFonts w:cs="Arial"/>
              </w:rPr>
            </w:pPr>
          </w:p>
          <w:p w14:paraId="2E8A302F" w14:textId="77777777" w:rsidR="00854692" w:rsidRDefault="00854692" w:rsidP="00F27A90">
            <w:pPr>
              <w:pStyle w:val="NoSpacing"/>
              <w:rPr>
                <w:rFonts w:cs="Arial"/>
              </w:rPr>
            </w:pPr>
          </w:p>
          <w:p w14:paraId="06674B8D" w14:textId="77777777" w:rsidR="00854692" w:rsidRDefault="00854692" w:rsidP="00F27A90">
            <w:pPr>
              <w:pStyle w:val="NoSpacing"/>
              <w:rPr>
                <w:rFonts w:cs="Arial"/>
              </w:rPr>
            </w:pPr>
          </w:p>
          <w:p w14:paraId="43CA16D8" w14:textId="77777777" w:rsidR="00854692" w:rsidRDefault="00854692" w:rsidP="00F27A90">
            <w:pPr>
              <w:pStyle w:val="NoSpacing"/>
              <w:rPr>
                <w:rFonts w:cs="Arial"/>
              </w:rPr>
            </w:pPr>
          </w:p>
          <w:p w14:paraId="3ADB4645" w14:textId="77777777" w:rsidR="00854692" w:rsidRDefault="00854692" w:rsidP="00F27A90">
            <w:pPr>
              <w:pStyle w:val="NoSpacing"/>
              <w:rPr>
                <w:rFonts w:cs="Arial"/>
              </w:rPr>
            </w:pPr>
          </w:p>
          <w:p w14:paraId="09238AD4" w14:textId="77777777" w:rsidR="00854692" w:rsidRDefault="00854692" w:rsidP="00F27A90">
            <w:pPr>
              <w:pStyle w:val="NoSpacing"/>
              <w:rPr>
                <w:rFonts w:cs="Arial"/>
              </w:rPr>
            </w:pPr>
          </w:p>
          <w:p w14:paraId="33919E9D" w14:textId="77777777" w:rsidR="00854692" w:rsidRDefault="00854692" w:rsidP="00F27A90">
            <w:pPr>
              <w:pStyle w:val="NoSpacing"/>
              <w:rPr>
                <w:rFonts w:cs="Arial"/>
              </w:rPr>
            </w:pPr>
            <w:r w:rsidRPr="00DE3D81">
              <w:rPr>
                <w:rFonts w:cs="Arial"/>
              </w:rPr>
              <w:t>Possible or probable</w:t>
            </w:r>
          </w:p>
          <w:p w14:paraId="747EBE54" w14:textId="77777777" w:rsidR="00854692" w:rsidRDefault="00854692" w:rsidP="00F27A90">
            <w:pPr>
              <w:pStyle w:val="NoSpacing"/>
              <w:rPr>
                <w:rFonts w:cs="Arial"/>
              </w:rPr>
            </w:pPr>
          </w:p>
          <w:p w14:paraId="3D589FCA" w14:textId="77777777" w:rsidR="00854692" w:rsidRDefault="00854692" w:rsidP="00F27A90">
            <w:pPr>
              <w:pStyle w:val="NoSpacing"/>
              <w:rPr>
                <w:rFonts w:cs="Arial"/>
              </w:rPr>
            </w:pPr>
          </w:p>
          <w:p w14:paraId="0BF6EB37" w14:textId="77777777" w:rsidR="00854692" w:rsidRDefault="00854692" w:rsidP="00F27A90">
            <w:pPr>
              <w:pStyle w:val="NoSpacing"/>
              <w:rPr>
                <w:rFonts w:cs="Arial"/>
              </w:rPr>
            </w:pPr>
          </w:p>
          <w:p w14:paraId="1AAA66DD" w14:textId="77777777" w:rsidR="00854692" w:rsidRDefault="00854692" w:rsidP="00F27A90">
            <w:pPr>
              <w:pStyle w:val="NoSpacing"/>
              <w:rPr>
                <w:rFonts w:cs="Arial"/>
              </w:rPr>
            </w:pPr>
          </w:p>
          <w:p w14:paraId="1638E383" w14:textId="77777777" w:rsidR="00854692" w:rsidRDefault="00854692" w:rsidP="00F27A90">
            <w:pPr>
              <w:pStyle w:val="NoSpacing"/>
              <w:rPr>
                <w:rFonts w:cs="Arial"/>
              </w:rPr>
            </w:pPr>
          </w:p>
          <w:p w14:paraId="1F7CC70C" w14:textId="77777777" w:rsidR="00854692" w:rsidRDefault="00854692" w:rsidP="00F27A90">
            <w:pPr>
              <w:pStyle w:val="NoSpacing"/>
              <w:rPr>
                <w:rFonts w:cs="Arial"/>
              </w:rPr>
            </w:pPr>
          </w:p>
          <w:p w14:paraId="10ECE284" w14:textId="77777777" w:rsidR="00854692" w:rsidRDefault="00854692" w:rsidP="00F27A90">
            <w:pPr>
              <w:pStyle w:val="NoSpacing"/>
              <w:rPr>
                <w:rFonts w:cs="Arial"/>
              </w:rPr>
            </w:pPr>
          </w:p>
          <w:p w14:paraId="6ABA9C8B" w14:textId="77777777" w:rsidR="00854692" w:rsidRDefault="00854692" w:rsidP="00F27A90">
            <w:pPr>
              <w:pStyle w:val="NoSpacing"/>
              <w:rPr>
                <w:rFonts w:cs="Arial"/>
              </w:rPr>
            </w:pPr>
          </w:p>
          <w:p w14:paraId="1414825A" w14:textId="77777777" w:rsidR="00854692" w:rsidRDefault="00854692" w:rsidP="00F27A90">
            <w:pPr>
              <w:pStyle w:val="NoSpacing"/>
              <w:rPr>
                <w:rFonts w:cs="Arial"/>
              </w:rPr>
            </w:pPr>
          </w:p>
          <w:p w14:paraId="71D961DA" w14:textId="77777777" w:rsidR="00854692" w:rsidRDefault="00854692" w:rsidP="00F27A90">
            <w:pPr>
              <w:pStyle w:val="NoSpacing"/>
              <w:rPr>
                <w:rFonts w:cs="Arial"/>
              </w:rPr>
            </w:pPr>
          </w:p>
          <w:p w14:paraId="3B8BDA03" w14:textId="77777777" w:rsidR="00854692" w:rsidRDefault="00854692" w:rsidP="00F27A90">
            <w:pPr>
              <w:pStyle w:val="NoSpacing"/>
              <w:rPr>
                <w:rFonts w:cs="Arial"/>
              </w:rPr>
            </w:pPr>
          </w:p>
          <w:p w14:paraId="7F377BA1" w14:textId="77777777" w:rsidR="00854692" w:rsidRDefault="00854692" w:rsidP="00F27A90">
            <w:pPr>
              <w:pStyle w:val="NoSpacing"/>
              <w:rPr>
                <w:rFonts w:cs="Arial"/>
              </w:rPr>
            </w:pPr>
          </w:p>
          <w:p w14:paraId="0E8EC7D4" w14:textId="77777777" w:rsidR="00854692" w:rsidRDefault="00854692" w:rsidP="00F27A90">
            <w:pPr>
              <w:pStyle w:val="NoSpacing"/>
              <w:rPr>
                <w:rFonts w:cs="Arial"/>
              </w:rPr>
            </w:pPr>
          </w:p>
          <w:p w14:paraId="1694B8B4" w14:textId="77777777" w:rsidR="00854692" w:rsidRDefault="00854692" w:rsidP="00F27A90">
            <w:pPr>
              <w:pStyle w:val="NoSpacing"/>
              <w:rPr>
                <w:rFonts w:cs="Arial"/>
              </w:rPr>
            </w:pPr>
          </w:p>
          <w:p w14:paraId="627E9D11" w14:textId="77777777" w:rsidR="00854692" w:rsidRDefault="00854692" w:rsidP="00F27A90">
            <w:pPr>
              <w:pStyle w:val="NoSpacing"/>
              <w:rPr>
                <w:rFonts w:cs="Arial"/>
              </w:rPr>
            </w:pPr>
          </w:p>
          <w:p w14:paraId="2E5C808D" w14:textId="77777777" w:rsidR="00854692" w:rsidRDefault="00854692" w:rsidP="00F27A90">
            <w:pPr>
              <w:pStyle w:val="NoSpacing"/>
              <w:rPr>
                <w:rFonts w:cs="Arial"/>
              </w:rPr>
            </w:pPr>
          </w:p>
          <w:p w14:paraId="2DBC5FDD" w14:textId="77777777" w:rsidR="00854692" w:rsidRDefault="00854692" w:rsidP="00F27A90">
            <w:pPr>
              <w:pStyle w:val="NoSpacing"/>
              <w:rPr>
                <w:rFonts w:cs="Arial"/>
              </w:rPr>
            </w:pPr>
          </w:p>
          <w:p w14:paraId="2EB6756E" w14:textId="77777777" w:rsidR="00854692" w:rsidRDefault="00854692" w:rsidP="00F27A90">
            <w:pPr>
              <w:pStyle w:val="NoSpacing"/>
              <w:rPr>
                <w:rFonts w:cs="Arial"/>
              </w:rPr>
            </w:pPr>
          </w:p>
          <w:p w14:paraId="28C3D621" w14:textId="77777777" w:rsidR="00854692" w:rsidRDefault="00854692" w:rsidP="00F27A90">
            <w:pPr>
              <w:pStyle w:val="NoSpacing"/>
              <w:rPr>
                <w:rFonts w:cs="Arial"/>
              </w:rPr>
            </w:pPr>
          </w:p>
          <w:p w14:paraId="7BFA694E" w14:textId="77777777" w:rsidR="00854692" w:rsidRDefault="00854692" w:rsidP="00F27A90">
            <w:pPr>
              <w:pStyle w:val="NoSpacing"/>
              <w:rPr>
                <w:rFonts w:cs="Arial"/>
              </w:rPr>
            </w:pPr>
          </w:p>
          <w:p w14:paraId="50A6D3D0" w14:textId="77777777" w:rsidR="00854692" w:rsidRDefault="00854692" w:rsidP="00F27A90">
            <w:pPr>
              <w:pStyle w:val="NoSpacing"/>
              <w:rPr>
                <w:rFonts w:cs="Arial"/>
              </w:rPr>
            </w:pPr>
          </w:p>
          <w:p w14:paraId="2B18C3C8" w14:textId="77777777" w:rsidR="00854692" w:rsidRDefault="00854692" w:rsidP="00F27A90">
            <w:pPr>
              <w:pStyle w:val="NoSpacing"/>
              <w:rPr>
                <w:rFonts w:cs="Arial"/>
              </w:rPr>
            </w:pPr>
          </w:p>
          <w:p w14:paraId="701B94BD" w14:textId="77777777" w:rsidR="00854692" w:rsidRDefault="00854692" w:rsidP="00F27A90">
            <w:pPr>
              <w:pStyle w:val="NoSpacing"/>
              <w:rPr>
                <w:rFonts w:cs="Arial"/>
              </w:rPr>
            </w:pPr>
          </w:p>
          <w:p w14:paraId="6D2602A1" w14:textId="77777777" w:rsidR="00854692" w:rsidRDefault="00854692" w:rsidP="00F27A90">
            <w:pPr>
              <w:pStyle w:val="NoSpacing"/>
              <w:rPr>
                <w:rFonts w:cs="Arial"/>
              </w:rPr>
            </w:pPr>
          </w:p>
          <w:p w14:paraId="663FD0F3" w14:textId="77777777" w:rsidR="00854692" w:rsidRDefault="00854692" w:rsidP="00F27A90">
            <w:pPr>
              <w:pStyle w:val="NoSpacing"/>
              <w:rPr>
                <w:rFonts w:cs="Arial"/>
              </w:rPr>
            </w:pPr>
          </w:p>
          <w:p w14:paraId="393FDADC" w14:textId="77777777" w:rsidR="00854692" w:rsidRPr="00DE3D81" w:rsidRDefault="00854692" w:rsidP="00F27A90">
            <w:pPr>
              <w:pStyle w:val="NoSpacing"/>
              <w:rPr>
                <w:rFonts w:cs="Arial"/>
              </w:rPr>
            </w:pPr>
            <w:r w:rsidRPr="00DE3D81">
              <w:rPr>
                <w:rFonts w:cs="Arial"/>
              </w:rPr>
              <w:t>Possible or probable</w:t>
            </w:r>
          </w:p>
        </w:tc>
        <w:tc>
          <w:tcPr>
            <w:tcW w:w="1059" w:type="pct"/>
          </w:tcPr>
          <w:p w14:paraId="61BC08EE" w14:textId="77777777" w:rsidR="00854692" w:rsidRPr="00DE3D81" w:rsidRDefault="00854692" w:rsidP="00F27A90">
            <w:pPr>
              <w:pStyle w:val="NoSpacing"/>
              <w:rPr>
                <w:rFonts w:cs="Arial"/>
              </w:rPr>
            </w:pPr>
          </w:p>
          <w:p w14:paraId="05AF7898" w14:textId="77777777" w:rsidR="00854692" w:rsidRPr="00DE3D81" w:rsidRDefault="00854692" w:rsidP="00F27A90">
            <w:pPr>
              <w:pStyle w:val="NoSpacing"/>
              <w:rPr>
                <w:rFonts w:cs="Arial"/>
              </w:rPr>
            </w:pPr>
          </w:p>
          <w:p w14:paraId="37B20270" w14:textId="77777777" w:rsidR="00854692" w:rsidRPr="00DE3D81" w:rsidRDefault="00854692" w:rsidP="00F27A90">
            <w:pPr>
              <w:pStyle w:val="NoSpacing"/>
              <w:rPr>
                <w:rFonts w:cs="Arial"/>
              </w:rPr>
            </w:pPr>
          </w:p>
          <w:p w14:paraId="43144466" w14:textId="77777777" w:rsidR="00854692" w:rsidRPr="00DE3D81" w:rsidRDefault="00854692" w:rsidP="00F27A90">
            <w:pPr>
              <w:pStyle w:val="NoSpacing"/>
              <w:rPr>
                <w:rFonts w:cs="Arial"/>
              </w:rPr>
            </w:pPr>
          </w:p>
          <w:p w14:paraId="7B90E25B" w14:textId="77777777" w:rsidR="00854692" w:rsidRPr="00DE3D81" w:rsidRDefault="00854692" w:rsidP="00F27A90">
            <w:pPr>
              <w:pStyle w:val="NoSpacing"/>
              <w:rPr>
                <w:rFonts w:cs="Arial"/>
              </w:rPr>
            </w:pPr>
          </w:p>
          <w:p w14:paraId="0048AD15" w14:textId="77777777" w:rsidR="00854692" w:rsidRPr="00DE3D81" w:rsidRDefault="00854692" w:rsidP="00F27A90">
            <w:pPr>
              <w:pStyle w:val="NoSpacing"/>
              <w:rPr>
                <w:rFonts w:cs="Arial"/>
              </w:rPr>
            </w:pPr>
          </w:p>
          <w:p w14:paraId="7F24A104" w14:textId="77777777" w:rsidR="00854692" w:rsidRPr="00DE3D81" w:rsidRDefault="00854692" w:rsidP="00F27A90">
            <w:pPr>
              <w:pStyle w:val="NoSpacing"/>
              <w:rPr>
                <w:rFonts w:cs="Arial"/>
              </w:rPr>
            </w:pPr>
          </w:p>
          <w:p w14:paraId="3B4224F8" w14:textId="77777777" w:rsidR="00854692" w:rsidRPr="00DE3D81" w:rsidRDefault="00854692" w:rsidP="00F27A90">
            <w:pPr>
              <w:pStyle w:val="NoSpacing"/>
              <w:rPr>
                <w:rFonts w:cs="Arial"/>
              </w:rPr>
            </w:pPr>
          </w:p>
          <w:p w14:paraId="73911263" w14:textId="77777777" w:rsidR="00854692" w:rsidRPr="00DE3D81" w:rsidRDefault="00854692" w:rsidP="00F27A90">
            <w:pPr>
              <w:pStyle w:val="NoSpacing"/>
              <w:rPr>
                <w:rFonts w:cs="Arial"/>
              </w:rPr>
            </w:pPr>
          </w:p>
          <w:p w14:paraId="1F7B4712" w14:textId="77777777" w:rsidR="00854692" w:rsidRPr="00DE3D81" w:rsidRDefault="00854692" w:rsidP="00F27A90">
            <w:pPr>
              <w:pStyle w:val="NoSpacing"/>
              <w:rPr>
                <w:rFonts w:cs="Arial"/>
              </w:rPr>
            </w:pPr>
          </w:p>
          <w:p w14:paraId="57622E9E" w14:textId="77777777" w:rsidR="00854692" w:rsidRPr="00DE3D81" w:rsidRDefault="00854692" w:rsidP="00F27A90">
            <w:pPr>
              <w:pStyle w:val="NoSpacing"/>
              <w:rPr>
                <w:rFonts w:cs="Arial"/>
              </w:rPr>
            </w:pPr>
          </w:p>
          <w:p w14:paraId="6CA33C43" w14:textId="77777777" w:rsidR="00854692" w:rsidRPr="00DE3D81" w:rsidRDefault="00854692" w:rsidP="00F27A90">
            <w:pPr>
              <w:pStyle w:val="NoSpacing"/>
              <w:rPr>
                <w:rFonts w:cs="Arial"/>
              </w:rPr>
            </w:pPr>
          </w:p>
          <w:p w14:paraId="4D4BC083" w14:textId="77777777" w:rsidR="00854692" w:rsidRPr="00DE3D81" w:rsidRDefault="00854692" w:rsidP="00F27A90">
            <w:pPr>
              <w:pStyle w:val="NoSpacing"/>
              <w:rPr>
                <w:rFonts w:cs="Arial"/>
              </w:rPr>
            </w:pPr>
          </w:p>
          <w:p w14:paraId="6E254A43" w14:textId="77777777" w:rsidR="00854692" w:rsidRPr="00DE3D81" w:rsidRDefault="00854692" w:rsidP="00F27A90">
            <w:pPr>
              <w:pStyle w:val="NoSpacing"/>
              <w:rPr>
                <w:rFonts w:cs="Arial"/>
              </w:rPr>
            </w:pPr>
            <w:r w:rsidRPr="00DE3D81">
              <w:rPr>
                <w:rFonts w:cs="Arial"/>
              </w:rPr>
              <w:t>Significant or severe</w:t>
            </w:r>
          </w:p>
          <w:p w14:paraId="279EE307" w14:textId="77777777" w:rsidR="00854692" w:rsidRPr="00DE3D81" w:rsidRDefault="00854692" w:rsidP="00F27A90">
            <w:pPr>
              <w:pStyle w:val="NoSpacing"/>
              <w:rPr>
                <w:rFonts w:cs="Arial"/>
              </w:rPr>
            </w:pPr>
          </w:p>
          <w:p w14:paraId="15785298" w14:textId="77777777" w:rsidR="00854692" w:rsidRPr="00DE3D81" w:rsidRDefault="00854692" w:rsidP="00F27A90">
            <w:pPr>
              <w:pStyle w:val="NoSpacing"/>
              <w:rPr>
                <w:rFonts w:cs="Arial"/>
              </w:rPr>
            </w:pPr>
          </w:p>
          <w:p w14:paraId="44055CE5" w14:textId="77777777" w:rsidR="00854692" w:rsidRPr="00DE3D81" w:rsidRDefault="00854692" w:rsidP="00F27A90">
            <w:pPr>
              <w:pStyle w:val="NoSpacing"/>
              <w:rPr>
                <w:rFonts w:cs="Arial"/>
              </w:rPr>
            </w:pPr>
          </w:p>
          <w:p w14:paraId="1CC9A891" w14:textId="77777777" w:rsidR="00854692" w:rsidRPr="00DE3D81" w:rsidRDefault="00854692" w:rsidP="00F27A90">
            <w:pPr>
              <w:pStyle w:val="NoSpacing"/>
              <w:rPr>
                <w:rFonts w:cs="Arial"/>
              </w:rPr>
            </w:pPr>
          </w:p>
          <w:p w14:paraId="7F548150" w14:textId="77777777" w:rsidR="00854692" w:rsidRPr="00DE3D81" w:rsidRDefault="00854692" w:rsidP="00F27A90">
            <w:pPr>
              <w:pStyle w:val="NoSpacing"/>
              <w:rPr>
                <w:rFonts w:cs="Arial"/>
              </w:rPr>
            </w:pPr>
          </w:p>
          <w:p w14:paraId="67F1D491" w14:textId="77777777" w:rsidR="00854692" w:rsidRPr="00DE3D81" w:rsidRDefault="00854692" w:rsidP="00F27A90">
            <w:pPr>
              <w:pStyle w:val="NoSpacing"/>
              <w:rPr>
                <w:rFonts w:cs="Arial"/>
              </w:rPr>
            </w:pPr>
          </w:p>
          <w:p w14:paraId="4374BE47" w14:textId="77777777" w:rsidR="00854692" w:rsidRPr="00DE3D81" w:rsidRDefault="00854692" w:rsidP="00F27A90">
            <w:pPr>
              <w:pStyle w:val="NoSpacing"/>
              <w:rPr>
                <w:rFonts w:cs="Arial"/>
              </w:rPr>
            </w:pPr>
          </w:p>
          <w:p w14:paraId="70B49071" w14:textId="77777777" w:rsidR="00854692" w:rsidRPr="00DE3D81" w:rsidRDefault="00854692" w:rsidP="00F27A90">
            <w:pPr>
              <w:pStyle w:val="NoSpacing"/>
              <w:rPr>
                <w:rFonts w:cs="Arial"/>
              </w:rPr>
            </w:pPr>
            <w:r w:rsidRPr="00DE3D81">
              <w:rPr>
                <w:rFonts w:cs="Arial"/>
              </w:rPr>
              <w:t>Significant or severe</w:t>
            </w:r>
          </w:p>
          <w:p w14:paraId="5A163968" w14:textId="77777777" w:rsidR="00854692" w:rsidRPr="00DE3D81" w:rsidRDefault="00854692" w:rsidP="00F27A90">
            <w:pPr>
              <w:pStyle w:val="NoSpacing"/>
              <w:rPr>
                <w:rFonts w:cs="Arial"/>
              </w:rPr>
            </w:pPr>
          </w:p>
          <w:p w14:paraId="21A53C73" w14:textId="77777777" w:rsidR="00854692" w:rsidRPr="00DE3D81" w:rsidRDefault="00854692" w:rsidP="00F27A90">
            <w:pPr>
              <w:pStyle w:val="NoSpacing"/>
              <w:rPr>
                <w:rFonts w:cs="Arial"/>
              </w:rPr>
            </w:pPr>
          </w:p>
          <w:p w14:paraId="5B0CD04E" w14:textId="77777777" w:rsidR="00854692" w:rsidRPr="00DE3D81" w:rsidRDefault="00854692" w:rsidP="00F27A90">
            <w:pPr>
              <w:pStyle w:val="NoSpacing"/>
              <w:rPr>
                <w:rFonts w:cs="Arial"/>
              </w:rPr>
            </w:pPr>
          </w:p>
          <w:p w14:paraId="15A039F3" w14:textId="77777777" w:rsidR="00854692" w:rsidRPr="00DE3D81" w:rsidRDefault="00854692" w:rsidP="00F27A90">
            <w:pPr>
              <w:pStyle w:val="NoSpacing"/>
              <w:rPr>
                <w:rFonts w:cs="Arial"/>
              </w:rPr>
            </w:pPr>
          </w:p>
          <w:p w14:paraId="3EDBCB30" w14:textId="77777777" w:rsidR="00854692" w:rsidRPr="00DE3D81" w:rsidRDefault="00854692" w:rsidP="00F27A90">
            <w:pPr>
              <w:pStyle w:val="NoSpacing"/>
              <w:rPr>
                <w:rFonts w:cs="Arial"/>
              </w:rPr>
            </w:pPr>
          </w:p>
          <w:p w14:paraId="110EB4DA" w14:textId="77777777" w:rsidR="00854692" w:rsidRPr="00DE3D81" w:rsidRDefault="00854692" w:rsidP="00F27A90">
            <w:pPr>
              <w:pStyle w:val="NoSpacing"/>
              <w:rPr>
                <w:rFonts w:cs="Arial"/>
              </w:rPr>
            </w:pPr>
          </w:p>
          <w:p w14:paraId="7C3CBC73" w14:textId="77777777" w:rsidR="00854692" w:rsidRPr="00DE3D81" w:rsidRDefault="00854692" w:rsidP="00F27A90">
            <w:pPr>
              <w:pStyle w:val="NoSpacing"/>
              <w:rPr>
                <w:rFonts w:cs="Arial"/>
              </w:rPr>
            </w:pPr>
          </w:p>
          <w:p w14:paraId="41167CE4" w14:textId="77777777" w:rsidR="00854692" w:rsidRPr="00DE3D81" w:rsidRDefault="00854692" w:rsidP="00F27A90">
            <w:pPr>
              <w:pStyle w:val="NoSpacing"/>
              <w:rPr>
                <w:rFonts w:cs="Arial"/>
              </w:rPr>
            </w:pPr>
          </w:p>
          <w:p w14:paraId="16C20D13" w14:textId="77777777" w:rsidR="00854692" w:rsidRPr="00DE3D81" w:rsidRDefault="00854692" w:rsidP="00F27A90">
            <w:pPr>
              <w:pStyle w:val="NoSpacing"/>
              <w:rPr>
                <w:rFonts w:cs="Arial"/>
              </w:rPr>
            </w:pPr>
          </w:p>
          <w:p w14:paraId="2D7C4801" w14:textId="77777777" w:rsidR="00854692" w:rsidRPr="00DE3D81" w:rsidRDefault="00854692" w:rsidP="00F27A90">
            <w:pPr>
              <w:pStyle w:val="NoSpacing"/>
              <w:rPr>
                <w:rFonts w:cs="Arial"/>
              </w:rPr>
            </w:pPr>
          </w:p>
          <w:p w14:paraId="13E30763" w14:textId="77777777" w:rsidR="00854692" w:rsidRPr="00DE3D81" w:rsidRDefault="00854692" w:rsidP="00F27A90">
            <w:pPr>
              <w:pStyle w:val="NoSpacing"/>
              <w:rPr>
                <w:rFonts w:cs="Arial"/>
              </w:rPr>
            </w:pPr>
          </w:p>
          <w:p w14:paraId="079F1D36" w14:textId="77777777" w:rsidR="00854692" w:rsidRDefault="00854692" w:rsidP="00F27A90">
            <w:pPr>
              <w:pStyle w:val="NoSpacing"/>
              <w:rPr>
                <w:rFonts w:cs="Arial"/>
              </w:rPr>
            </w:pPr>
          </w:p>
          <w:p w14:paraId="7E305597" w14:textId="77777777" w:rsidR="00854692" w:rsidRPr="00DE3D81" w:rsidRDefault="00854692" w:rsidP="00F27A90">
            <w:pPr>
              <w:pStyle w:val="NoSpacing"/>
              <w:rPr>
                <w:rFonts w:cs="Arial"/>
              </w:rPr>
            </w:pPr>
            <w:r w:rsidRPr="00DE3D81">
              <w:rPr>
                <w:rFonts w:cs="Arial"/>
              </w:rPr>
              <w:t>Significant or severe</w:t>
            </w:r>
          </w:p>
          <w:p w14:paraId="1F506BCE" w14:textId="77777777" w:rsidR="00854692" w:rsidRPr="00DE3D81" w:rsidRDefault="00854692" w:rsidP="00F27A90">
            <w:pPr>
              <w:pStyle w:val="NoSpacing"/>
              <w:rPr>
                <w:rFonts w:cs="Arial"/>
              </w:rPr>
            </w:pPr>
          </w:p>
          <w:p w14:paraId="6B4491AE" w14:textId="77777777" w:rsidR="00854692" w:rsidRPr="00DE3D81" w:rsidRDefault="00854692" w:rsidP="00F27A90">
            <w:pPr>
              <w:pStyle w:val="NoSpacing"/>
              <w:rPr>
                <w:rFonts w:cs="Arial"/>
              </w:rPr>
            </w:pPr>
          </w:p>
          <w:p w14:paraId="4095A3DE" w14:textId="77777777" w:rsidR="00854692" w:rsidRDefault="00854692" w:rsidP="00F27A90">
            <w:pPr>
              <w:pStyle w:val="NoSpacing"/>
              <w:rPr>
                <w:rFonts w:cs="Arial"/>
              </w:rPr>
            </w:pPr>
          </w:p>
          <w:p w14:paraId="47BC459A" w14:textId="77777777" w:rsidR="00854692" w:rsidRDefault="00854692" w:rsidP="00F27A90">
            <w:pPr>
              <w:pStyle w:val="NoSpacing"/>
              <w:rPr>
                <w:rFonts w:cs="Arial"/>
              </w:rPr>
            </w:pPr>
          </w:p>
          <w:p w14:paraId="1CC70980" w14:textId="77777777" w:rsidR="00854692" w:rsidRDefault="00854692" w:rsidP="00F27A90">
            <w:pPr>
              <w:pStyle w:val="NoSpacing"/>
              <w:rPr>
                <w:rFonts w:cs="Arial"/>
              </w:rPr>
            </w:pPr>
          </w:p>
          <w:p w14:paraId="1AC44433" w14:textId="77777777" w:rsidR="00854692" w:rsidRDefault="00854692" w:rsidP="00F27A90">
            <w:pPr>
              <w:pStyle w:val="NoSpacing"/>
              <w:rPr>
                <w:rFonts w:cs="Arial"/>
              </w:rPr>
            </w:pPr>
          </w:p>
          <w:p w14:paraId="7679240D" w14:textId="77777777" w:rsidR="00854692" w:rsidRDefault="00854692" w:rsidP="00F27A90">
            <w:pPr>
              <w:pStyle w:val="NoSpacing"/>
              <w:rPr>
                <w:rFonts w:cs="Arial"/>
              </w:rPr>
            </w:pPr>
          </w:p>
          <w:p w14:paraId="20690A86" w14:textId="77777777" w:rsidR="00854692" w:rsidRDefault="00854692" w:rsidP="00F27A90">
            <w:pPr>
              <w:pStyle w:val="NoSpacing"/>
              <w:rPr>
                <w:rFonts w:cs="Arial"/>
              </w:rPr>
            </w:pPr>
          </w:p>
          <w:p w14:paraId="78C57DA2" w14:textId="77777777" w:rsidR="00854692" w:rsidRDefault="00854692" w:rsidP="00F27A90">
            <w:pPr>
              <w:pStyle w:val="NoSpacing"/>
              <w:rPr>
                <w:rFonts w:cs="Arial"/>
              </w:rPr>
            </w:pPr>
          </w:p>
          <w:p w14:paraId="4B71B094" w14:textId="77777777" w:rsidR="00854692" w:rsidRDefault="00854692" w:rsidP="00F27A90">
            <w:pPr>
              <w:pStyle w:val="NoSpacing"/>
              <w:rPr>
                <w:rFonts w:cs="Arial"/>
              </w:rPr>
            </w:pPr>
          </w:p>
          <w:p w14:paraId="638FFA00" w14:textId="77777777" w:rsidR="00854692" w:rsidRDefault="00854692" w:rsidP="00F27A90">
            <w:pPr>
              <w:pStyle w:val="NoSpacing"/>
              <w:rPr>
                <w:rFonts w:cs="Arial"/>
              </w:rPr>
            </w:pPr>
          </w:p>
          <w:p w14:paraId="2576C2D8" w14:textId="77777777" w:rsidR="00854692" w:rsidRDefault="00854692" w:rsidP="00F27A90">
            <w:pPr>
              <w:pStyle w:val="NoSpacing"/>
              <w:rPr>
                <w:rFonts w:cs="Arial"/>
              </w:rPr>
            </w:pPr>
          </w:p>
          <w:p w14:paraId="581DA113" w14:textId="77777777" w:rsidR="00854692" w:rsidRDefault="00854692" w:rsidP="00F27A90">
            <w:pPr>
              <w:pStyle w:val="NoSpacing"/>
              <w:rPr>
                <w:rFonts w:cs="Arial"/>
              </w:rPr>
            </w:pPr>
          </w:p>
          <w:p w14:paraId="03B9301F" w14:textId="77777777" w:rsidR="00854692" w:rsidRDefault="00854692" w:rsidP="00F27A90">
            <w:pPr>
              <w:pStyle w:val="NoSpacing"/>
              <w:rPr>
                <w:rFonts w:cs="Arial"/>
              </w:rPr>
            </w:pPr>
          </w:p>
          <w:p w14:paraId="7277BD0C" w14:textId="77777777" w:rsidR="00854692" w:rsidRDefault="00854692" w:rsidP="00F27A90">
            <w:pPr>
              <w:pStyle w:val="NoSpacing"/>
              <w:rPr>
                <w:rFonts w:cs="Arial"/>
              </w:rPr>
            </w:pPr>
            <w:r w:rsidRPr="00DE3D81">
              <w:rPr>
                <w:rFonts w:cs="Arial"/>
              </w:rPr>
              <w:t>Significant or severe</w:t>
            </w:r>
          </w:p>
          <w:p w14:paraId="769C6081" w14:textId="77777777" w:rsidR="00854692" w:rsidRDefault="00854692" w:rsidP="00F27A90">
            <w:pPr>
              <w:pStyle w:val="NoSpacing"/>
              <w:rPr>
                <w:rFonts w:cs="Arial"/>
              </w:rPr>
            </w:pPr>
          </w:p>
          <w:p w14:paraId="682F2B79" w14:textId="77777777" w:rsidR="00854692" w:rsidRDefault="00854692" w:rsidP="00F27A90">
            <w:pPr>
              <w:pStyle w:val="NoSpacing"/>
              <w:rPr>
                <w:rFonts w:cs="Arial"/>
              </w:rPr>
            </w:pPr>
          </w:p>
          <w:p w14:paraId="74A3AF79" w14:textId="77777777" w:rsidR="00854692" w:rsidRDefault="00854692" w:rsidP="00F27A90">
            <w:pPr>
              <w:pStyle w:val="NoSpacing"/>
              <w:rPr>
                <w:rFonts w:cs="Arial"/>
              </w:rPr>
            </w:pPr>
          </w:p>
          <w:p w14:paraId="468FB216" w14:textId="77777777" w:rsidR="00854692" w:rsidRDefault="00854692" w:rsidP="00F27A90">
            <w:pPr>
              <w:pStyle w:val="NoSpacing"/>
              <w:rPr>
                <w:rFonts w:cs="Arial"/>
              </w:rPr>
            </w:pPr>
          </w:p>
          <w:p w14:paraId="11AFDD06" w14:textId="77777777" w:rsidR="00854692" w:rsidRDefault="00854692" w:rsidP="00F27A90">
            <w:pPr>
              <w:pStyle w:val="NoSpacing"/>
              <w:rPr>
                <w:rFonts w:cs="Arial"/>
              </w:rPr>
            </w:pPr>
          </w:p>
          <w:p w14:paraId="22BED94B" w14:textId="77777777" w:rsidR="00854692" w:rsidRDefault="00854692" w:rsidP="00F27A90">
            <w:pPr>
              <w:pStyle w:val="NoSpacing"/>
              <w:rPr>
                <w:rFonts w:cs="Arial"/>
              </w:rPr>
            </w:pPr>
          </w:p>
          <w:p w14:paraId="0EA2C8DF" w14:textId="77777777" w:rsidR="00854692" w:rsidRDefault="00854692" w:rsidP="00F27A90">
            <w:pPr>
              <w:pStyle w:val="NoSpacing"/>
              <w:rPr>
                <w:rFonts w:cs="Arial"/>
              </w:rPr>
            </w:pPr>
          </w:p>
          <w:p w14:paraId="1600D673" w14:textId="77777777" w:rsidR="00854692" w:rsidRDefault="00854692" w:rsidP="00F27A90">
            <w:pPr>
              <w:pStyle w:val="NoSpacing"/>
              <w:rPr>
                <w:rFonts w:cs="Arial"/>
              </w:rPr>
            </w:pPr>
          </w:p>
          <w:p w14:paraId="392FBF89" w14:textId="77777777" w:rsidR="00854692" w:rsidRDefault="00854692" w:rsidP="00F27A90">
            <w:pPr>
              <w:pStyle w:val="NoSpacing"/>
              <w:rPr>
                <w:rFonts w:cs="Arial"/>
              </w:rPr>
            </w:pPr>
          </w:p>
          <w:p w14:paraId="77D3C8BA" w14:textId="77777777" w:rsidR="00854692" w:rsidRDefault="00854692" w:rsidP="00F27A90">
            <w:pPr>
              <w:pStyle w:val="NoSpacing"/>
              <w:rPr>
                <w:rFonts w:cs="Arial"/>
              </w:rPr>
            </w:pPr>
          </w:p>
          <w:p w14:paraId="12C87F3C" w14:textId="77777777" w:rsidR="00854692" w:rsidRDefault="00854692" w:rsidP="00F27A90">
            <w:pPr>
              <w:pStyle w:val="NoSpacing"/>
              <w:rPr>
                <w:rFonts w:cs="Arial"/>
              </w:rPr>
            </w:pPr>
          </w:p>
          <w:p w14:paraId="30C5D76C" w14:textId="77777777" w:rsidR="00854692" w:rsidRDefault="00854692" w:rsidP="00F27A90">
            <w:pPr>
              <w:pStyle w:val="NoSpacing"/>
              <w:rPr>
                <w:rFonts w:cs="Arial"/>
              </w:rPr>
            </w:pPr>
          </w:p>
          <w:p w14:paraId="30E60DAC" w14:textId="77777777" w:rsidR="00854692" w:rsidRDefault="00854692" w:rsidP="00F27A90">
            <w:pPr>
              <w:pStyle w:val="NoSpacing"/>
              <w:rPr>
                <w:rFonts w:cs="Arial"/>
              </w:rPr>
            </w:pPr>
          </w:p>
          <w:p w14:paraId="04A7453F" w14:textId="77777777" w:rsidR="00854692" w:rsidRDefault="00854692" w:rsidP="00F27A90">
            <w:pPr>
              <w:pStyle w:val="NoSpacing"/>
              <w:rPr>
                <w:rFonts w:cs="Arial"/>
              </w:rPr>
            </w:pPr>
          </w:p>
          <w:p w14:paraId="2018397C" w14:textId="77777777" w:rsidR="00854692" w:rsidRDefault="00854692" w:rsidP="00F27A90">
            <w:pPr>
              <w:pStyle w:val="NoSpacing"/>
              <w:rPr>
                <w:rFonts w:cs="Arial"/>
              </w:rPr>
            </w:pPr>
          </w:p>
          <w:p w14:paraId="5C621B58" w14:textId="77777777" w:rsidR="00854692" w:rsidRDefault="00854692" w:rsidP="00F27A90">
            <w:pPr>
              <w:pStyle w:val="NoSpacing"/>
              <w:rPr>
                <w:rFonts w:cs="Arial"/>
              </w:rPr>
            </w:pPr>
          </w:p>
          <w:p w14:paraId="3ABFDBE1" w14:textId="77777777" w:rsidR="00854692" w:rsidRDefault="00854692" w:rsidP="00F27A90">
            <w:pPr>
              <w:pStyle w:val="NoSpacing"/>
              <w:rPr>
                <w:rFonts w:cs="Arial"/>
              </w:rPr>
            </w:pPr>
          </w:p>
          <w:p w14:paraId="6D632991" w14:textId="77777777" w:rsidR="00854692" w:rsidRDefault="00854692" w:rsidP="00F27A90">
            <w:pPr>
              <w:pStyle w:val="NoSpacing"/>
              <w:rPr>
                <w:rFonts w:cs="Arial"/>
              </w:rPr>
            </w:pPr>
          </w:p>
          <w:p w14:paraId="103E8FEC" w14:textId="77777777" w:rsidR="00854692" w:rsidRDefault="00854692" w:rsidP="00F27A90">
            <w:pPr>
              <w:pStyle w:val="NoSpacing"/>
              <w:rPr>
                <w:rFonts w:cs="Arial"/>
              </w:rPr>
            </w:pPr>
          </w:p>
          <w:p w14:paraId="4B24081B" w14:textId="77777777" w:rsidR="00854692" w:rsidRDefault="00854692" w:rsidP="00F27A90">
            <w:pPr>
              <w:pStyle w:val="NoSpacing"/>
              <w:rPr>
                <w:rFonts w:cs="Arial"/>
              </w:rPr>
            </w:pPr>
          </w:p>
          <w:p w14:paraId="4057D690" w14:textId="77777777" w:rsidR="00854692" w:rsidRDefault="00854692" w:rsidP="00F27A90">
            <w:pPr>
              <w:pStyle w:val="NoSpacing"/>
              <w:rPr>
                <w:rFonts w:cs="Arial"/>
              </w:rPr>
            </w:pPr>
          </w:p>
          <w:p w14:paraId="04CF3B97" w14:textId="77777777" w:rsidR="00854692" w:rsidRDefault="00854692" w:rsidP="00F27A90">
            <w:pPr>
              <w:pStyle w:val="NoSpacing"/>
              <w:rPr>
                <w:rFonts w:cs="Arial"/>
              </w:rPr>
            </w:pPr>
          </w:p>
          <w:p w14:paraId="1D2DCB33" w14:textId="77777777" w:rsidR="00854692" w:rsidRDefault="00854692" w:rsidP="00F27A90">
            <w:pPr>
              <w:pStyle w:val="NoSpacing"/>
              <w:rPr>
                <w:rFonts w:cs="Arial"/>
              </w:rPr>
            </w:pPr>
          </w:p>
          <w:p w14:paraId="00D937FA" w14:textId="77777777" w:rsidR="00854692" w:rsidRDefault="00854692" w:rsidP="00F27A90">
            <w:pPr>
              <w:pStyle w:val="NoSpacing"/>
              <w:rPr>
                <w:rFonts w:cs="Arial"/>
              </w:rPr>
            </w:pPr>
          </w:p>
          <w:p w14:paraId="28451A22" w14:textId="77777777" w:rsidR="00854692" w:rsidRDefault="00854692" w:rsidP="00F27A90">
            <w:pPr>
              <w:pStyle w:val="NoSpacing"/>
              <w:rPr>
                <w:rFonts w:cs="Arial"/>
              </w:rPr>
            </w:pPr>
          </w:p>
          <w:p w14:paraId="7E08598C" w14:textId="77777777" w:rsidR="00854692" w:rsidRPr="00DE3D81" w:rsidRDefault="00854692" w:rsidP="00F27A90">
            <w:pPr>
              <w:pStyle w:val="NoSpacing"/>
              <w:rPr>
                <w:rFonts w:cs="Arial"/>
              </w:rPr>
            </w:pPr>
            <w:r w:rsidRPr="00DE3D81">
              <w:rPr>
                <w:rFonts w:cs="Arial"/>
              </w:rPr>
              <w:t>Significant or severe</w:t>
            </w:r>
          </w:p>
        </w:tc>
        <w:tc>
          <w:tcPr>
            <w:tcW w:w="761" w:type="pct"/>
          </w:tcPr>
          <w:p w14:paraId="21605B57" w14:textId="77777777" w:rsidR="00854692" w:rsidRPr="00DE3D81" w:rsidRDefault="00854692" w:rsidP="00F27A90">
            <w:pPr>
              <w:pStyle w:val="NoSpacing"/>
              <w:rPr>
                <w:rFonts w:cs="Arial"/>
              </w:rPr>
            </w:pPr>
          </w:p>
          <w:p w14:paraId="089CE410" w14:textId="77777777" w:rsidR="00854692" w:rsidRPr="00DE3D81" w:rsidRDefault="00854692" w:rsidP="00F27A90">
            <w:pPr>
              <w:pStyle w:val="NoSpacing"/>
              <w:rPr>
                <w:rFonts w:cs="Arial"/>
              </w:rPr>
            </w:pPr>
          </w:p>
          <w:p w14:paraId="05E5E9EC" w14:textId="77777777" w:rsidR="00854692" w:rsidRPr="00DE3D81" w:rsidRDefault="00854692" w:rsidP="00F27A90">
            <w:pPr>
              <w:pStyle w:val="NoSpacing"/>
              <w:rPr>
                <w:rFonts w:cs="Arial"/>
              </w:rPr>
            </w:pPr>
          </w:p>
          <w:p w14:paraId="604BA75F" w14:textId="77777777" w:rsidR="00854692" w:rsidRPr="00DE3D81" w:rsidRDefault="00854692" w:rsidP="00F27A90">
            <w:pPr>
              <w:pStyle w:val="NoSpacing"/>
              <w:rPr>
                <w:rFonts w:cs="Arial"/>
              </w:rPr>
            </w:pPr>
          </w:p>
          <w:p w14:paraId="5160E0E5" w14:textId="77777777" w:rsidR="00854692" w:rsidRPr="00DE3D81" w:rsidRDefault="00854692" w:rsidP="00F27A90">
            <w:pPr>
              <w:pStyle w:val="NoSpacing"/>
              <w:rPr>
                <w:rFonts w:cs="Arial"/>
              </w:rPr>
            </w:pPr>
          </w:p>
          <w:p w14:paraId="0CA094ED" w14:textId="77777777" w:rsidR="00854692" w:rsidRPr="00DE3D81" w:rsidRDefault="00854692" w:rsidP="00F27A90">
            <w:pPr>
              <w:pStyle w:val="NoSpacing"/>
              <w:rPr>
                <w:rFonts w:cs="Arial"/>
              </w:rPr>
            </w:pPr>
          </w:p>
          <w:p w14:paraId="077DF283" w14:textId="77777777" w:rsidR="00854692" w:rsidRPr="00DE3D81" w:rsidRDefault="00854692" w:rsidP="00F27A90">
            <w:pPr>
              <w:pStyle w:val="NoSpacing"/>
              <w:rPr>
                <w:rFonts w:cs="Arial"/>
              </w:rPr>
            </w:pPr>
          </w:p>
          <w:p w14:paraId="05CD37BA" w14:textId="77777777" w:rsidR="00854692" w:rsidRPr="00DE3D81" w:rsidRDefault="00854692" w:rsidP="00F27A90">
            <w:pPr>
              <w:pStyle w:val="NoSpacing"/>
              <w:rPr>
                <w:rFonts w:cs="Arial"/>
              </w:rPr>
            </w:pPr>
          </w:p>
          <w:p w14:paraId="2CDF8D86" w14:textId="77777777" w:rsidR="00854692" w:rsidRPr="00DE3D81" w:rsidRDefault="00854692" w:rsidP="00F27A90">
            <w:pPr>
              <w:pStyle w:val="NoSpacing"/>
              <w:rPr>
                <w:rFonts w:cs="Arial"/>
              </w:rPr>
            </w:pPr>
          </w:p>
          <w:p w14:paraId="174514F0" w14:textId="77777777" w:rsidR="00854692" w:rsidRPr="00DE3D81" w:rsidRDefault="00854692" w:rsidP="00F27A90">
            <w:pPr>
              <w:pStyle w:val="NoSpacing"/>
              <w:rPr>
                <w:rFonts w:cs="Arial"/>
              </w:rPr>
            </w:pPr>
          </w:p>
          <w:p w14:paraId="50410B0F" w14:textId="77777777" w:rsidR="00854692" w:rsidRPr="00DE3D81" w:rsidRDefault="00854692" w:rsidP="00F27A90">
            <w:pPr>
              <w:pStyle w:val="NoSpacing"/>
              <w:rPr>
                <w:rFonts w:cs="Arial"/>
              </w:rPr>
            </w:pPr>
          </w:p>
          <w:p w14:paraId="6A52306A" w14:textId="77777777" w:rsidR="00854692" w:rsidRPr="00DE3D81" w:rsidRDefault="00854692" w:rsidP="00F27A90">
            <w:pPr>
              <w:pStyle w:val="NoSpacing"/>
              <w:rPr>
                <w:rFonts w:cs="Arial"/>
              </w:rPr>
            </w:pPr>
          </w:p>
          <w:p w14:paraId="6E1836E9" w14:textId="77777777" w:rsidR="00854692" w:rsidRPr="00DE3D81" w:rsidRDefault="00854692" w:rsidP="00F27A90">
            <w:pPr>
              <w:pStyle w:val="NoSpacing"/>
              <w:rPr>
                <w:rFonts w:cs="Arial"/>
              </w:rPr>
            </w:pPr>
          </w:p>
          <w:p w14:paraId="31FF71C5" w14:textId="77777777" w:rsidR="00854692" w:rsidRPr="00DE3D81" w:rsidRDefault="00854692" w:rsidP="00F27A90">
            <w:pPr>
              <w:pStyle w:val="NoSpacing"/>
              <w:rPr>
                <w:rFonts w:cs="Arial"/>
              </w:rPr>
            </w:pPr>
            <w:r w:rsidRPr="00DE3D81">
              <w:rPr>
                <w:rFonts w:cs="Arial"/>
              </w:rPr>
              <w:t>Medium</w:t>
            </w:r>
          </w:p>
          <w:p w14:paraId="2FBC666A" w14:textId="77777777" w:rsidR="00854692" w:rsidRPr="00DE3D81" w:rsidRDefault="00854692" w:rsidP="00F27A90">
            <w:pPr>
              <w:pStyle w:val="NoSpacing"/>
              <w:rPr>
                <w:rFonts w:cs="Arial"/>
              </w:rPr>
            </w:pPr>
          </w:p>
          <w:p w14:paraId="69B1ADCC" w14:textId="77777777" w:rsidR="00854692" w:rsidRPr="00DE3D81" w:rsidRDefault="00854692" w:rsidP="00F27A90">
            <w:pPr>
              <w:pStyle w:val="NoSpacing"/>
              <w:rPr>
                <w:rFonts w:cs="Arial"/>
              </w:rPr>
            </w:pPr>
          </w:p>
          <w:p w14:paraId="60655B46" w14:textId="77777777" w:rsidR="00854692" w:rsidRPr="00DE3D81" w:rsidRDefault="00854692" w:rsidP="00F27A90">
            <w:pPr>
              <w:pStyle w:val="NoSpacing"/>
              <w:rPr>
                <w:rFonts w:cs="Arial"/>
              </w:rPr>
            </w:pPr>
          </w:p>
          <w:p w14:paraId="2B6B8969" w14:textId="77777777" w:rsidR="00854692" w:rsidRPr="00DE3D81" w:rsidRDefault="00854692" w:rsidP="00F27A90">
            <w:pPr>
              <w:pStyle w:val="NoSpacing"/>
              <w:rPr>
                <w:rFonts w:cs="Arial"/>
              </w:rPr>
            </w:pPr>
          </w:p>
          <w:p w14:paraId="57835A15" w14:textId="77777777" w:rsidR="00854692" w:rsidRPr="00DE3D81" w:rsidRDefault="00854692" w:rsidP="00F27A90">
            <w:pPr>
              <w:pStyle w:val="NoSpacing"/>
              <w:rPr>
                <w:rFonts w:cs="Arial"/>
              </w:rPr>
            </w:pPr>
          </w:p>
          <w:p w14:paraId="6523C8C5" w14:textId="77777777" w:rsidR="00854692" w:rsidRPr="00DE3D81" w:rsidRDefault="00854692" w:rsidP="00F27A90">
            <w:pPr>
              <w:pStyle w:val="NoSpacing"/>
              <w:rPr>
                <w:rFonts w:cs="Arial"/>
              </w:rPr>
            </w:pPr>
          </w:p>
          <w:p w14:paraId="28DA120C" w14:textId="77777777" w:rsidR="00854692" w:rsidRPr="00DE3D81" w:rsidRDefault="00854692" w:rsidP="00F27A90">
            <w:pPr>
              <w:pStyle w:val="NoSpacing"/>
              <w:rPr>
                <w:rFonts w:cs="Arial"/>
              </w:rPr>
            </w:pPr>
          </w:p>
          <w:p w14:paraId="50F32017" w14:textId="77777777" w:rsidR="00854692" w:rsidRPr="00DE3D81" w:rsidRDefault="00854692" w:rsidP="00F27A90">
            <w:pPr>
              <w:pStyle w:val="NoSpacing"/>
              <w:rPr>
                <w:rFonts w:cs="Arial"/>
              </w:rPr>
            </w:pPr>
            <w:r w:rsidRPr="00DE3D81">
              <w:rPr>
                <w:rFonts w:cs="Arial"/>
              </w:rPr>
              <w:t>Medium to high</w:t>
            </w:r>
          </w:p>
          <w:p w14:paraId="1A22E202" w14:textId="77777777" w:rsidR="00854692" w:rsidRPr="00DE3D81" w:rsidRDefault="00854692" w:rsidP="00F27A90">
            <w:pPr>
              <w:pStyle w:val="NoSpacing"/>
              <w:rPr>
                <w:rFonts w:cs="Arial"/>
              </w:rPr>
            </w:pPr>
          </w:p>
          <w:p w14:paraId="47451D6D" w14:textId="77777777" w:rsidR="00854692" w:rsidRPr="00DE3D81" w:rsidRDefault="00854692" w:rsidP="00F27A90">
            <w:pPr>
              <w:pStyle w:val="NoSpacing"/>
              <w:rPr>
                <w:rFonts w:cs="Arial"/>
              </w:rPr>
            </w:pPr>
          </w:p>
          <w:p w14:paraId="4186A900" w14:textId="77777777" w:rsidR="00854692" w:rsidRPr="00DE3D81" w:rsidRDefault="00854692" w:rsidP="00F27A90">
            <w:pPr>
              <w:pStyle w:val="NoSpacing"/>
              <w:rPr>
                <w:rFonts w:cs="Arial"/>
              </w:rPr>
            </w:pPr>
          </w:p>
          <w:p w14:paraId="660E4D00" w14:textId="77777777" w:rsidR="00854692" w:rsidRPr="00DE3D81" w:rsidRDefault="00854692" w:rsidP="00F27A90">
            <w:pPr>
              <w:pStyle w:val="NoSpacing"/>
              <w:rPr>
                <w:rFonts w:cs="Arial"/>
              </w:rPr>
            </w:pPr>
          </w:p>
          <w:p w14:paraId="4DACD756" w14:textId="77777777" w:rsidR="00854692" w:rsidRPr="00DE3D81" w:rsidRDefault="00854692" w:rsidP="00F27A90">
            <w:pPr>
              <w:pStyle w:val="NoSpacing"/>
              <w:rPr>
                <w:rFonts w:cs="Arial"/>
              </w:rPr>
            </w:pPr>
          </w:p>
          <w:p w14:paraId="7ACDCC04" w14:textId="77777777" w:rsidR="00854692" w:rsidRPr="00DE3D81" w:rsidRDefault="00854692" w:rsidP="00F27A90">
            <w:pPr>
              <w:pStyle w:val="NoSpacing"/>
              <w:rPr>
                <w:rFonts w:cs="Arial"/>
              </w:rPr>
            </w:pPr>
          </w:p>
          <w:p w14:paraId="4418A41F" w14:textId="77777777" w:rsidR="00854692" w:rsidRPr="00DE3D81" w:rsidRDefault="00854692" w:rsidP="00F27A90">
            <w:pPr>
              <w:pStyle w:val="NoSpacing"/>
              <w:rPr>
                <w:rFonts w:cs="Arial"/>
              </w:rPr>
            </w:pPr>
          </w:p>
          <w:p w14:paraId="005D1E0B" w14:textId="77777777" w:rsidR="00854692" w:rsidRPr="00DE3D81" w:rsidRDefault="00854692" w:rsidP="00F27A90">
            <w:pPr>
              <w:pStyle w:val="NoSpacing"/>
              <w:rPr>
                <w:rFonts w:cs="Arial"/>
              </w:rPr>
            </w:pPr>
          </w:p>
          <w:p w14:paraId="0F564B3D" w14:textId="77777777" w:rsidR="00854692" w:rsidRPr="00DE3D81" w:rsidRDefault="00854692" w:rsidP="00F27A90">
            <w:pPr>
              <w:pStyle w:val="NoSpacing"/>
              <w:rPr>
                <w:rFonts w:cs="Arial"/>
              </w:rPr>
            </w:pPr>
          </w:p>
          <w:p w14:paraId="7C912253" w14:textId="77777777" w:rsidR="00854692" w:rsidRPr="00DE3D81" w:rsidRDefault="00854692" w:rsidP="00F27A90">
            <w:pPr>
              <w:pStyle w:val="NoSpacing"/>
              <w:rPr>
                <w:rFonts w:cs="Arial"/>
              </w:rPr>
            </w:pPr>
          </w:p>
          <w:p w14:paraId="66DEB714" w14:textId="77777777" w:rsidR="00854692" w:rsidRPr="00DE3D81" w:rsidRDefault="00854692" w:rsidP="00F27A90">
            <w:pPr>
              <w:pStyle w:val="NoSpacing"/>
              <w:rPr>
                <w:rFonts w:cs="Arial"/>
              </w:rPr>
            </w:pPr>
          </w:p>
          <w:p w14:paraId="09226019" w14:textId="77777777" w:rsidR="00854692" w:rsidRDefault="00854692" w:rsidP="00F27A90">
            <w:pPr>
              <w:pStyle w:val="NoSpacing"/>
              <w:rPr>
                <w:rFonts w:cs="Arial"/>
              </w:rPr>
            </w:pPr>
          </w:p>
          <w:p w14:paraId="06CD4CCB" w14:textId="77777777" w:rsidR="00854692" w:rsidRPr="00DE3D81" w:rsidRDefault="00854692" w:rsidP="00F27A90">
            <w:pPr>
              <w:pStyle w:val="NoSpacing"/>
              <w:rPr>
                <w:rFonts w:cs="Arial"/>
              </w:rPr>
            </w:pPr>
            <w:r w:rsidRPr="00DE3D81">
              <w:rPr>
                <w:rFonts w:cs="Arial"/>
              </w:rPr>
              <w:t>Medium to high</w:t>
            </w:r>
          </w:p>
          <w:p w14:paraId="0D07B395" w14:textId="77777777" w:rsidR="00854692" w:rsidRPr="00DE3D81" w:rsidRDefault="00854692" w:rsidP="00F27A90">
            <w:pPr>
              <w:pStyle w:val="NoSpacing"/>
              <w:rPr>
                <w:rFonts w:cs="Arial"/>
              </w:rPr>
            </w:pPr>
          </w:p>
          <w:p w14:paraId="7B811891" w14:textId="77777777" w:rsidR="00854692" w:rsidRPr="00DE3D81" w:rsidRDefault="00854692" w:rsidP="00F27A90">
            <w:pPr>
              <w:pStyle w:val="NoSpacing"/>
              <w:rPr>
                <w:rFonts w:cs="Arial"/>
              </w:rPr>
            </w:pPr>
          </w:p>
          <w:p w14:paraId="229870C8" w14:textId="77777777" w:rsidR="00854692" w:rsidRDefault="00854692" w:rsidP="00F27A90">
            <w:pPr>
              <w:pStyle w:val="NoSpacing"/>
              <w:rPr>
                <w:rFonts w:cs="Arial"/>
              </w:rPr>
            </w:pPr>
          </w:p>
          <w:p w14:paraId="4D2B771B" w14:textId="77777777" w:rsidR="00854692" w:rsidRDefault="00854692" w:rsidP="00F27A90">
            <w:pPr>
              <w:pStyle w:val="NoSpacing"/>
              <w:rPr>
                <w:rFonts w:cs="Arial"/>
              </w:rPr>
            </w:pPr>
          </w:p>
          <w:p w14:paraId="17852778" w14:textId="77777777" w:rsidR="00854692" w:rsidRDefault="00854692" w:rsidP="00F27A90">
            <w:pPr>
              <w:pStyle w:val="NoSpacing"/>
              <w:rPr>
                <w:rFonts w:cs="Arial"/>
              </w:rPr>
            </w:pPr>
          </w:p>
          <w:p w14:paraId="6A47E635" w14:textId="77777777" w:rsidR="00854692" w:rsidRDefault="00854692" w:rsidP="00F27A90">
            <w:pPr>
              <w:pStyle w:val="NoSpacing"/>
              <w:rPr>
                <w:rFonts w:cs="Arial"/>
              </w:rPr>
            </w:pPr>
          </w:p>
          <w:p w14:paraId="63576142" w14:textId="77777777" w:rsidR="00854692" w:rsidRDefault="00854692" w:rsidP="00F27A90">
            <w:pPr>
              <w:pStyle w:val="NoSpacing"/>
              <w:rPr>
                <w:rFonts w:cs="Arial"/>
              </w:rPr>
            </w:pPr>
          </w:p>
          <w:p w14:paraId="2A3B114C" w14:textId="77777777" w:rsidR="00854692" w:rsidRDefault="00854692" w:rsidP="00F27A90">
            <w:pPr>
              <w:pStyle w:val="NoSpacing"/>
              <w:rPr>
                <w:rFonts w:cs="Arial"/>
              </w:rPr>
            </w:pPr>
          </w:p>
          <w:p w14:paraId="37134ECD" w14:textId="77777777" w:rsidR="00854692" w:rsidRDefault="00854692" w:rsidP="00F27A90">
            <w:pPr>
              <w:pStyle w:val="NoSpacing"/>
              <w:rPr>
                <w:rFonts w:cs="Arial"/>
              </w:rPr>
            </w:pPr>
          </w:p>
          <w:p w14:paraId="7AC2DF2B" w14:textId="77777777" w:rsidR="00854692" w:rsidRDefault="00854692" w:rsidP="00F27A90">
            <w:pPr>
              <w:pStyle w:val="NoSpacing"/>
              <w:rPr>
                <w:rFonts w:cs="Arial"/>
              </w:rPr>
            </w:pPr>
          </w:p>
          <w:p w14:paraId="20F86684" w14:textId="77777777" w:rsidR="00854692" w:rsidRDefault="00854692" w:rsidP="00F27A90">
            <w:pPr>
              <w:pStyle w:val="NoSpacing"/>
              <w:rPr>
                <w:rFonts w:cs="Arial"/>
              </w:rPr>
            </w:pPr>
          </w:p>
          <w:p w14:paraId="74818D06" w14:textId="77777777" w:rsidR="00854692" w:rsidRDefault="00854692" w:rsidP="00F27A90">
            <w:pPr>
              <w:pStyle w:val="NoSpacing"/>
              <w:rPr>
                <w:rFonts w:cs="Arial"/>
              </w:rPr>
            </w:pPr>
          </w:p>
          <w:p w14:paraId="290C0C6D" w14:textId="77777777" w:rsidR="00854692" w:rsidRDefault="00854692" w:rsidP="00F27A90">
            <w:pPr>
              <w:pStyle w:val="NoSpacing"/>
              <w:rPr>
                <w:rFonts w:cs="Arial"/>
              </w:rPr>
            </w:pPr>
          </w:p>
          <w:p w14:paraId="4E458524" w14:textId="77777777" w:rsidR="00854692" w:rsidRDefault="00854692" w:rsidP="00F27A90">
            <w:pPr>
              <w:pStyle w:val="NoSpacing"/>
              <w:rPr>
                <w:rFonts w:cs="Arial"/>
              </w:rPr>
            </w:pPr>
          </w:p>
          <w:p w14:paraId="5C11A439" w14:textId="77777777" w:rsidR="00854692" w:rsidRDefault="00854692" w:rsidP="00F27A90">
            <w:pPr>
              <w:pStyle w:val="NoSpacing"/>
              <w:rPr>
                <w:rFonts w:cs="Arial"/>
              </w:rPr>
            </w:pPr>
            <w:r w:rsidRPr="00DE3D81">
              <w:rPr>
                <w:rFonts w:cs="Arial"/>
              </w:rPr>
              <w:t>Medium to high</w:t>
            </w:r>
          </w:p>
          <w:p w14:paraId="2BD5F8FF" w14:textId="77777777" w:rsidR="00854692" w:rsidRDefault="00854692" w:rsidP="00F27A90">
            <w:pPr>
              <w:pStyle w:val="NoSpacing"/>
              <w:rPr>
                <w:rFonts w:cs="Arial"/>
              </w:rPr>
            </w:pPr>
          </w:p>
          <w:p w14:paraId="4ABE23C1" w14:textId="77777777" w:rsidR="00854692" w:rsidRDefault="00854692" w:rsidP="00F27A90">
            <w:pPr>
              <w:pStyle w:val="NoSpacing"/>
              <w:rPr>
                <w:rFonts w:cs="Arial"/>
              </w:rPr>
            </w:pPr>
          </w:p>
          <w:p w14:paraId="7B6E8A23" w14:textId="77777777" w:rsidR="00854692" w:rsidRDefault="00854692" w:rsidP="00F27A90">
            <w:pPr>
              <w:pStyle w:val="NoSpacing"/>
              <w:rPr>
                <w:rFonts w:cs="Arial"/>
              </w:rPr>
            </w:pPr>
          </w:p>
          <w:p w14:paraId="5AB6578D" w14:textId="77777777" w:rsidR="00854692" w:rsidRDefault="00854692" w:rsidP="00F27A90">
            <w:pPr>
              <w:pStyle w:val="NoSpacing"/>
              <w:rPr>
                <w:rFonts w:cs="Arial"/>
              </w:rPr>
            </w:pPr>
          </w:p>
          <w:p w14:paraId="2049995C" w14:textId="77777777" w:rsidR="00854692" w:rsidRDefault="00854692" w:rsidP="00F27A90">
            <w:pPr>
              <w:pStyle w:val="NoSpacing"/>
              <w:rPr>
                <w:rFonts w:cs="Arial"/>
              </w:rPr>
            </w:pPr>
          </w:p>
          <w:p w14:paraId="428D2FCB" w14:textId="77777777" w:rsidR="00854692" w:rsidRDefault="00854692" w:rsidP="00F27A90">
            <w:pPr>
              <w:pStyle w:val="NoSpacing"/>
              <w:rPr>
                <w:rFonts w:cs="Arial"/>
              </w:rPr>
            </w:pPr>
          </w:p>
          <w:p w14:paraId="3D6F62A0" w14:textId="77777777" w:rsidR="00854692" w:rsidRDefault="00854692" w:rsidP="00F27A90">
            <w:pPr>
              <w:pStyle w:val="NoSpacing"/>
              <w:rPr>
                <w:rFonts w:cs="Arial"/>
              </w:rPr>
            </w:pPr>
          </w:p>
          <w:p w14:paraId="752772D5" w14:textId="77777777" w:rsidR="00854692" w:rsidRDefault="00854692" w:rsidP="00F27A90">
            <w:pPr>
              <w:pStyle w:val="NoSpacing"/>
              <w:rPr>
                <w:rFonts w:cs="Arial"/>
              </w:rPr>
            </w:pPr>
          </w:p>
          <w:p w14:paraId="056D4600" w14:textId="77777777" w:rsidR="00854692" w:rsidRDefault="00854692" w:rsidP="00F27A90">
            <w:pPr>
              <w:pStyle w:val="NoSpacing"/>
              <w:rPr>
                <w:rFonts w:cs="Arial"/>
              </w:rPr>
            </w:pPr>
          </w:p>
          <w:p w14:paraId="4C2321C6" w14:textId="77777777" w:rsidR="00854692" w:rsidRDefault="00854692" w:rsidP="00F27A90">
            <w:pPr>
              <w:pStyle w:val="NoSpacing"/>
              <w:rPr>
                <w:rFonts w:cs="Arial"/>
              </w:rPr>
            </w:pPr>
          </w:p>
          <w:p w14:paraId="7AD39679" w14:textId="77777777" w:rsidR="00854692" w:rsidRDefault="00854692" w:rsidP="00F27A90">
            <w:pPr>
              <w:pStyle w:val="NoSpacing"/>
              <w:rPr>
                <w:rFonts w:cs="Arial"/>
              </w:rPr>
            </w:pPr>
          </w:p>
          <w:p w14:paraId="22408F3A" w14:textId="77777777" w:rsidR="00854692" w:rsidRDefault="00854692" w:rsidP="00F27A90">
            <w:pPr>
              <w:pStyle w:val="NoSpacing"/>
              <w:rPr>
                <w:rFonts w:cs="Arial"/>
              </w:rPr>
            </w:pPr>
          </w:p>
          <w:p w14:paraId="21C373DF" w14:textId="77777777" w:rsidR="00854692" w:rsidRDefault="00854692" w:rsidP="00F27A90">
            <w:pPr>
              <w:pStyle w:val="NoSpacing"/>
              <w:rPr>
                <w:rFonts w:cs="Arial"/>
              </w:rPr>
            </w:pPr>
          </w:p>
          <w:p w14:paraId="6240F6A5" w14:textId="77777777" w:rsidR="00854692" w:rsidRDefault="00854692" w:rsidP="00F27A90">
            <w:pPr>
              <w:pStyle w:val="NoSpacing"/>
              <w:rPr>
                <w:rFonts w:cs="Arial"/>
              </w:rPr>
            </w:pPr>
          </w:p>
          <w:p w14:paraId="71430077" w14:textId="77777777" w:rsidR="00854692" w:rsidRDefault="00854692" w:rsidP="00F27A90">
            <w:pPr>
              <w:pStyle w:val="NoSpacing"/>
              <w:rPr>
                <w:rFonts w:cs="Arial"/>
              </w:rPr>
            </w:pPr>
          </w:p>
          <w:p w14:paraId="3275BDFB" w14:textId="77777777" w:rsidR="00854692" w:rsidRDefault="00854692" w:rsidP="00F27A90">
            <w:pPr>
              <w:pStyle w:val="NoSpacing"/>
              <w:rPr>
                <w:rFonts w:cs="Arial"/>
              </w:rPr>
            </w:pPr>
          </w:p>
          <w:p w14:paraId="6A061D9F" w14:textId="77777777" w:rsidR="00854692" w:rsidRDefault="00854692" w:rsidP="00F27A90">
            <w:pPr>
              <w:pStyle w:val="NoSpacing"/>
              <w:rPr>
                <w:rFonts w:cs="Arial"/>
              </w:rPr>
            </w:pPr>
          </w:p>
          <w:p w14:paraId="07AB5BFE" w14:textId="77777777" w:rsidR="00854692" w:rsidRDefault="00854692" w:rsidP="00F27A90">
            <w:pPr>
              <w:pStyle w:val="NoSpacing"/>
              <w:rPr>
                <w:rFonts w:cs="Arial"/>
              </w:rPr>
            </w:pPr>
          </w:p>
          <w:p w14:paraId="53F4E315" w14:textId="77777777" w:rsidR="00854692" w:rsidRDefault="00854692" w:rsidP="00F27A90">
            <w:pPr>
              <w:pStyle w:val="NoSpacing"/>
              <w:rPr>
                <w:rFonts w:cs="Arial"/>
              </w:rPr>
            </w:pPr>
          </w:p>
          <w:p w14:paraId="74B8853A" w14:textId="77777777" w:rsidR="00854692" w:rsidRDefault="00854692" w:rsidP="00F27A90">
            <w:pPr>
              <w:pStyle w:val="NoSpacing"/>
              <w:rPr>
                <w:rFonts w:cs="Arial"/>
              </w:rPr>
            </w:pPr>
          </w:p>
          <w:p w14:paraId="65DBF1C9" w14:textId="77777777" w:rsidR="00854692" w:rsidRDefault="00854692" w:rsidP="00F27A90">
            <w:pPr>
              <w:pStyle w:val="NoSpacing"/>
              <w:rPr>
                <w:rFonts w:cs="Arial"/>
              </w:rPr>
            </w:pPr>
          </w:p>
          <w:p w14:paraId="41D7A5A1" w14:textId="77777777" w:rsidR="00854692" w:rsidRDefault="00854692" w:rsidP="00F27A90">
            <w:pPr>
              <w:pStyle w:val="NoSpacing"/>
              <w:rPr>
                <w:rFonts w:cs="Arial"/>
              </w:rPr>
            </w:pPr>
          </w:p>
          <w:p w14:paraId="08F9E3C3" w14:textId="77777777" w:rsidR="00854692" w:rsidRDefault="00854692" w:rsidP="00F27A90">
            <w:pPr>
              <w:pStyle w:val="NoSpacing"/>
              <w:rPr>
                <w:rFonts w:cs="Arial"/>
              </w:rPr>
            </w:pPr>
          </w:p>
          <w:p w14:paraId="75A3743F" w14:textId="77777777" w:rsidR="00854692" w:rsidRDefault="00854692" w:rsidP="00F27A90">
            <w:pPr>
              <w:pStyle w:val="NoSpacing"/>
              <w:rPr>
                <w:rFonts w:cs="Arial"/>
              </w:rPr>
            </w:pPr>
          </w:p>
          <w:p w14:paraId="1AAF8EDF" w14:textId="77777777" w:rsidR="00854692" w:rsidRDefault="00854692" w:rsidP="00F27A90">
            <w:pPr>
              <w:pStyle w:val="NoSpacing"/>
              <w:rPr>
                <w:rFonts w:cs="Arial"/>
              </w:rPr>
            </w:pPr>
          </w:p>
          <w:p w14:paraId="5C08CFC3" w14:textId="77777777" w:rsidR="00854692" w:rsidRPr="00DE3D81" w:rsidRDefault="00854692" w:rsidP="00F27A90">
            <w:pPr>
              <w:pStyle w:val="NoSpacing"/>
              <w:rPr>
                <w:rFonts w:cs="Arial"/>
              </w:rPr>
            </w:pPr>
            <w:r>
              <w:rPr>
                <w:rFonts w:cs="Arial"/>
              </w:rPr>
              <w:t>Medium to high</w:t>
            </w:r>
          </w:p>
        </w:tc>
      </w:tr>
      <w:tr w:rsidR="00854692" w:rsidRPr="00DE3D81" w14:paraId="21C28758" w14:textId="77777777" w:rsidTr="00F27A90">
        <w:trPr>
          <w:trHeight w:val="57"/>
        </w:trPr>
        <w:tc>
          <w:tcPr>
            <w:tcW w:w="187" w:type="pct"/>
          </w:tcPr>
          <w:p w14:paraId="6C4C1C38" w14:textId="77777777" w:rsidR="00854692" w:rsidRPr="00DE3D81" w:rsidRDefault="00854692" w:rsidP="00F27A90">
            <w:pPr>
              <w:pStyle w:val="NoSpacing"/>
              <w:rPr>
                <w:rFonts w:cs="Arial"/>
              </w:rPr>
            </w:pPr>
            <w:r w:rsidRPr="00DE3D81">
              <w:rPr>
                <w:rFonts w:cs="Arial"/>
              </w:rPr>
              <w:lastRenderedPageBreak/>
              <w:t xml:space="preserve">3. </w:t>
            </w:r>
          </w:p>
        </w:tc>
        <w:tc>
          <w:tcPr>
            <w:tcW w:w="1928" w:type="pct"/>
          </w:tcPr>
          <w:p w14:paraId="3EE373D9" w14:textId="77777777" w:rsidR="00854692" w:rsidRPr="00DE3D81" w:rsidRDefault="00854692" w:rsidP="00F27A90">
            <w:pPr>
              <w:pStyle w:val="NoSpacing"/>
              <w:rPr>
                <w:rFonts w:cs="Arial"/>
              </w:rPr>
            </w:pPr>
            <w:r w:rsidRPr="00DE3D81">
              <w:rPr>
                <w:rFonts w:cs="Arial"/>
                <w:u w:val="single"/>
              </w:rPr>
              <w:t>Risk of premature diagnosis</w:t>
            </w:r>
            <w:r w:rsidRPr="00DE3D81">
              <w:rPr>
                <w:rFonts w:cs="Arial"/>
              </w:rPr>
              <w:t xml:space="preserve">: </w:t>
            </w:r>
          </w:p>
          <w:p w14:paraId="36E02E10" w14:textId="77777777" w:rsidR="00854692" w:rsidRPr="00DE3D81" w:rsidRDefault="00854692" w:rsidP="00F27A90">
            <w:pPr>
              <w:pStyle w:val="NoSpacing"/>
              <w:rPr>
                <w:rFonts w:cs="Arial"/>
              </w:rPr>
            </w:pPr>
          </w:p>
          <w:p w14:paraId="5153FAAC" w14:textId="77777777" w:rsidR="00854692" w:rsidRDefault="00854692" w:rsidP="00F27A90">
            <w:pPr>
              <w:pStyle w:val="NoSpacing"/>
              <w:rPr>
                <w:rFonts w:cs="Arial"/>
              </w:rPr>
            </w:pPr>
            <w:r w:rsidRPr="00DE3D81">
              <w:rPr>
                <w:rFonts w:cs="Arial"/>
              </w:rPr>
              <w:t xml:space="preserve">There is a risk that a patient would first learn about a significant diagnosis by seeing their own medical records before their GP or hospital specialist </w:t>
            </w:r>
            <w:proofErr w:type="gramStart"/>
            <w:r w:rsidRPr="00DE3D81">
              <w:rPr>
                <w:rFonts w:cs="Arial"/>
              </w:rPr>
              <w:t>has the opportunity to</w:t>
            </w:r>
            <w:proofErr w:type="gramEnd"/>
            <w:r w:rsidRPr="00DE3D81">
              <w:rPr>
                <w:rFonts w:cs="Arial"/>
              </w:rPr>
              <w:t xml:space="preserve">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DC470AD" w14:textId="77777777" w:rsidR="00854692" w:rsidRPr="00DE3D81" w:rsidRDefault="00854692" w:rsidP="00F27A90">
            <w:pPr>
              <w:pStyle w:val="NoSpacing"/>
              <w:rPr>
                <w:rFonts w:cs="Arial"/>
              </w:rPr>
            </w:pPr>
          </w:p>
        </w:tc>
        <w:tc>
          <w:tcPr>
            <w:tcW w:w="1064" w:type="pct"/>
          </w:tcPr>
          <w:p w14:paraId="14236EAC" w14:textId="77777777" w:rsidR="00854692" w:rsidRPr="00DE3D81" w:rsidRDefault="00854692" w:rsidP="00F27A90">
            <w:pPr>
              <w:pStyle w:val="NoSpacing"/>
              <w:rPr>
                <w:rFonts w:cs="Arial"/>
              </w:rPr>
            </w:pPr>
            <w:r>
              <w:rPr>
                <w:rFonts w:cs="Arial"/>
              </w:rPr>
              <w:t>Possible it could happen</w:t>
            </w:r>
          </w:p>
        </w:tc>
        <w:tc>
          <w:tcPr>
            <w:tcW w:w="1059" w:type="pct"/>
          </w:tcPr>
          <w:p w14:paraId="2E597D73" w14:textId="77777777" w:rsidR="00854692" w:rsidRPr="00DE3D81" w:rsidRDefault="00854692" w:rsidP="00F27A90">
            <w:pPr>
              <w:pStyle w:val="NoSpacing"/>
              <w:rPr>
                <w:rFonts w:cs="Arial"/>
              </w:rPr>
            </w:pPr>
            <w:r>
              <w:rPr>
                <w:rFonts w:cs="Arial"/>
              </w:rPr>
              <w:t>Significant if it happens</w:t>
            </w:r>
          </w:p>
        </w:tc>
        <w:tc>
          <w:tcPr>
            <w:tcW w:w="761" w:type="pct"/>
          </w:tcPr>
          <w:p w14:paraId="3A2E6AC3" w14:textId="77777777" w:rsidR="00854692" w:rsidRPr="00DE3D81" w:rsidRDefault="00854692" w:rsidP="00F27A90">
            <w:pPr>
              <w:pStyle w:val="NoSpacing"/>
              <w:rPr>
                <w:rFonts w:cs="Arial"/>
              </w:rPr>
            </w:pPr>
            <w:r>
              <w:rPr>
                <w:rFonts w:cs="Arial"/>
              </w:rPr>
              <w:t>Unknown</w:t>
            </w:r>
          </w:p>
        </w:tc>
      </w:tr>
      <w:tr w:rsidR="00854692" w:rsidRPr="00DE3D81" w14:paraId="25F16CCF" w14:textId="77777777" w:rsidTr="00F27A90">
        <w:trPr>
          <w:trHeight w:val="57"/>
        </w:trPr>
        <w:tc>
          <w:tcPr>
            <w:tcW w:w="187" w:type="pct"/>
          </w:tcPr>
          <w:p w14:paraId="3ECEFFE7" w14:textId="77777777" w:rsidR="00854692" w:rsidRPr="00DE3D81" w:rsidRDefault="00854692" w:rsidP="00F27A90">
            <w:pPr>
              <w:pStyle w:val="NoSpacing"/>
              <w:rPr>
                <w:rFonts w:cs="Arial"/>
              </w:rPr>
            </w:pPr>
            <w:r>
              <w:rPr>
                <w:rFonts w:cs="Arial"/>
              </w:rPr>
              <w:t xml:space="preserve">4. </w:t>
            </w:r>
          </w:p>
        </w:tc>
        <w:tc>
          <w:tcPr>
            <w:tcW w:w="1928" w:type="pct"/>
          </w:tcPr>
          <w:p w14:paraId="263C1EF4" w14:textId="77777777" w:rsidR="00854692" w:rsidRDefault="00854692" w:rsidP="00F27A90">
            <w:pPr>
              <w:pStyle w:val="NoSpacing"/>
              <w:rPr>
                <w:rFonts w:cs="Arial"/>
              </w:rPr>
            </w:pPr>
            <w:r>
              <w:rPr>
                <w:rFonts w:cs="Arial"/>
                <w:u w:val="single"/>
              </w:rPr>
              <w:t>Risk to resources</w:t>
            </w:r>
            <w:r>
              <w:rPr>
                <w:rFonts w:cs="Arial"/>
              </w:rPr>
              <w:t>:</w:t>
            </w:r>
          </w:p>
          <w:p w14:paraId="6B7C4EE7" w14:textId="77777777" w:rsidR="00854692" w:rsidRDefault="00854692" w:rsidP="00F27A90">
            <w:pPr>
              <w:pStyle w:val="NoSpacing"/>
              <w:rPr>
                <w:rFonts w:cs="Arial"/>
              </w:rPr>
            </w:pPr>
          </w:p>
          <w:p w14:paraId="1AEBF313" w14:textId="77777777" w:rsidR="00854692" w:rsidRDefault="00854692" w:rsidP="00F27A90">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8D8DCD1" w14:textId="77777777" w:rsidR="00854692" w:rsidRDefault="00854692" w:rsidP="00F27A90">
            <w:pPr>
              <w:pStyle w:val="NoSpacing"/>
              <w:rPr>
                <w:rFonts w:cs="Arial"/>
              </w:rPr>
            </w:pPr>
          </w:p>
          <w:p w14:paraId="629C319D" w14:textId="77777777" w:rsidR="00854692" w:rsidRDefault="00854692" w:rsidP="00854692">
            <w:pPr>
              <w:pStyle w:val="NoSpacing"/>
              <w:numPr>
                <w:ilvl w:val="0"/>
                <w:numId w:val="2"/>
              </w:numPr>
              <w:rPr>
                <w:rFonts w:cs="Arial"/>
              </w:rPr>
            </w:pPr>
            <w:r w:rsidRPr="00DE3D81">
              <w:rPr>
                <w:rFonts w:cs="Arial"/>
              </w:rPr>
              <w:t>A patient reviewing their medical records</w:t>
            </w:r>
            <w:r>
              <w:rPr>
                <w:rFonts w:cs="Arial"/>
              </w:rPr>
              <w:t>,</w:t>
            </w:r>
            <w:r w:rsidRPr="00DE3D81">
              <w:rPr>
                <w:rFonts w:cs="Arial"/>
              </w:rPr>
              <w:t xml:space="preserve"> and in particular correspondence or diagnostic results from secondary care</w:t>
            </w:r>
            <w:r>
              <w:rPr>
                <w:rFonts w:cs="Arial"/>
              </w:rPr>
              <w:t>,</w:t>
            </w:r>
            <w:r w:rsidRPr="00DE3D81">
              <w:rPr>
                <w:rFonts w:cs="Arial"/>
              </w:rPr>
              <w:t xml:space="preserve"> may fail to understand medical terminology used within the records. Additional GP time will be </w:t>
            </w:r>
            <w:r w:rsidRPr="00DE3D81">
              <w:rPr>
                <w:rFonts w:cs="Arial"/>
              </w:rPr>
              <w:lastRenderedPageBreak/>
              <w:t xml:space="preserve">expended in explaining relevant terminology. Patients may require this service out of hours when the GP Practice is </w:t>
            </w:r>
            <w:proofErr w:type="gramStart"/>
            <w:r w:rsidRPr="00DE3D81">
              <w:rPr>
                <w:rFonts w:cs="Arial"/>
              </w:rPr>
              <w:t>closed</w:t>
            </w:r>
            <w:r>
              <w:rPr>
                <w:rFonts w:cs="Arial"/>
              </w:rPr>
              <w:t>;</w:t>
            </w:r>
            <w:proofErr w:type="gramEnd"/>
            <w:r>
              <w:rPr>
                <w:rFonts w:cs="Arial"/>
              </w:rPr>
              <w:t xml:space="preserve"> </w:t>
            </w:r>
          </w:p>
          <w:p w14:paraId="1D283F43" w14:textId="77777777" w:rsidR="00854692" w:rsidRDefault="00854692" w:rsidP="00F27A90">
            <w:pPr>
              <w:pStyle w:val="NoSpacing"/>
              <w:ind w:left="720"/>
              <w:rPr>
                <w:rFonts w:cs="Arial"/>
              </w:rPr>
            </w:pPr>
          </w:p>
          <w:p w14:paraId="2C0F9E0B" w14:textId="77777777" w:rsidR="00854692" w:rsidRDefault="00854692" w:rsidP="00854692">
            <w:pPr>
              <w:pStyle w:val="NoSpacing"/>
              <w:numPr>
                <w:ilvl w:val="0"/>
                <w:numId w:val="2"/>
              </w:numPr>
              <w:rPr>
                <w:rFonts w:cs="Arial"/>
              </w:rPr>
            </w:pPr>
            <w:r w:rsidRPr="00D468FA">
              <w:rPr>
                <w:rFonts w:cs="Arial"/>
              </w:rPr>
              <w:t xml:space="preserve">GPs are best placed to understand their patients’ medical needs and </w:t>
            </w:r>
            <w:proofErr w:type="gramStart"/>
            <w:r w:rsidRPr="00D468FA">
              <w:rPr>
                <w:rFonts w:cs="Arial"/>
              </w:rPr>
              <w:t>in particular how</w:t>
            </w:r>
            <w:proofErr w:type="gramEnd"/>
            <w:r w:rsidRPr="00D468FA">
              <w:rPr>
                <w:rFonts w:cs="Arial"/>
              </w:rPr>
              <w:t xml:space="preserve">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w:t>
            </w:r>
            <w:proofErr w:type="gramStart"/>
            <w:r w:rsidRPr="00D468FA">
              <w:rPr>
                <w:rFonts w:cs="Arial"/>
              </w:rPr>
              <w:t>managed</w:t>
            </w:r>
            <w:r>
              <w:rPr>
                <w:rFonts w:cs="Arial"/>
              </w:rPr>
              <w:t>;</w:t>
            </w:r>
            <w:proofErr w:type="gramEnd"/>
            <w:r>
              <w:rPr>
                <w:rFonts w:cs="Arial"/>
              </w:rPr>
              <w:t xml:space="preserve"> </w:t>
            </w:r>
          </w:p>
          <w:p w14:paraId="6E2EE861" w14:textId="77777777" w:rsidR="00854692" w:rsidRPr="00D468FA" w:rsidRDefault="00854692" w:rsidP="00F27A90">
            <w:pPr>
              <w:pStyle w:val="NoSpacing"/>
              <w:rPr>
                <w:rFonts w:cs="Arial"/>
              </w:rPr>
            </w:pPr>
          </w:p>
          <w:p w14:paraId="1895D005" w14:textId="77777777" w:rsidR="00854692" w:rsidRPr="00D468FA" w:rsidRDefault="00854692" w:rsidP="00854692">
            <w:pPr>
              <w:pStyle w:val="NoSpacing"/>
              <w:numPr>
                <w:ilvl w:val="0"/>
                <w:numId w:val="2"/>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Pr>
                <w:rFonts w:cs="Arial"/>
              </w:rPr>
              <w:t xml:space="preserve">that entry is filed </w:t>
            </w:r>
            <w:proofErr w:type="gramStart"/>
            <w:r w:rsidRPr="00D468FA">
              <w:rPr>
                <w:rFonts w:cs="Arial"/>
              </w:rPr>
              <w:t>so as to</w:t>
            </w:r>
            <w:proofErr w:type="gramEnd"/>
            <w:r w:rsidRPr="00D468FA">
              <w:rPr>
                <w:rFonts w:cs="Arial"/>
              </w:rPr>
              <w:t xml:space="preserve"> comply with their obligations pursuant to the DPA 2018</w:t>
            </w:r>
            <w:r>
              <w:rPr>
                <w:rFonts w:cs="Arial"/>
              </w:rPr>
              <w:t>.</w:t>
            </w:r>
          </w:p>
          <w:p w14:paraId="465A102E" w14:textId="77777777" w:rsidR="00854692" w:rsidRPr="00DE3D81" w:rsidRDefault="00854692" w:rsidP="00F27A90">
            <w:pPr>
              <w:pStyle w:val="NoSpacing"/>
              <w:rPr>
                <w:rFonts w:cs="Arial"/>
              </w:rPr>
            </w:pPr>
          </w:p>
        </w:tc>
        <w:tc>
          <w:tcPr>
            <w:tcW w:w="1064" w:type="pct"/>
          </w:tcPr>
          <w:p w14:paraId="082B8FAD" w14:textId="77777777" w:rsidR="00854692" w:rsidRDefault="00854692" w:rsidP="00F27A90">
            <w:pPr>
              <w:pStyle w:val="NoSpacing"/>
              <w:rPr>
                <w:rFonts w:cs="Arial"/>
              </w:rPr>
            </w:pPr>
          </w:p>
          <w:p w14:paraId="0A33A6F5" w14:textId="77777777" w:rsidR="00854692" w:rsidRDefault="00854692" w:rsidP="00F27A90">
            <w:pPr>
              <w:pStyle w:val="NoSpacing"/>
              <w:rPr>
                <w:rFonts w:cs="Arial"/>
              </w:rPr>
            </w:pPr>
          </w:p>
          <w:p w14:paraId="7A98C6F0" w14:textId="77777777" w:rsidR="00854692" w:rsidRDefault="00854692" w:rsidP="00F27A90">
            <w:pPr>
              <w:pStyle w:val="NoSpacing"/>
              <w:rPr>
                <w:rFonts w:cs="Arial"/>
              </w:rPr>
            </w:pPr>
          </w:p>
          <w:p w14:paraId="5214DF65" w14:textId="77777777" w:rsidR="00854692" w:rsidRDefault="00854692" w:rsidP="00F27A90">
            <w:pPr>
              <w:pStyle w:val="NoSpacing"/>
              <w:rPr>
                <w:rFonts w:cs="Arial"/>
              </w:rPr>
            </w:pPr>
          </w:p>
          <w:p w14:paraId="05CB096D" w14:textId="77777777" w:rsidR="00854692" w:rsidRDefault="00854692" w:rsidP="00F27A90">
            <w:pPr>
              <w:pStyle w:val="NoSpacing"/>
              <w:rPr>
                <w:rFonts w:cs="Arial"/>
              </w:rPr>
            </w:pPr>
          </w:p>
          <w:p w14:paraId="59354502" w14:textId="77777777" w:rsidR="00854692" w:rsidRDefault="00854692" w:rsidP="00F27A90">
            <w:pPr>
              <w:pStyle w:val="NoSpacing"/>
              <w:rPr>
                <w:rFonts w:cs="Arial"/>
              </w:rPr>
            </w:pPr>
          </w:p>
          <w:p w14:paraId="6BA53038" w14:textId="77777777" w:rsidR="00854692" w:rsidRDefault="00854692" w:rsidP="00F27A90">
            <w:pPr>
              <w:pStyle w:val="NoSpacing"/>
              <w:rPr>
                <w:rFonts w:cs="Arial"/>
              </w:rPr>
            </w:pPr>
          </w:p>
          <w:p w14:paraId="3B37D406" w14:textId="77777777" w:rsidR="00854692" w:rsidRDefault="00854692" w:rsidP="00F27A90">
            <w:pPr>
              <w:pStyle w:val="NoSpacing"/>
              <w:rPr>
                <w:rFonts w:cs="Arial"/>
              </w:rPr>
            </w:pPr>
            <w:r>
              <w:rPr>
                <w:rFonts w:cs="Arial"/>
              </w:rPr>
              <w:t>Possible to probable</w:t>
            </w:r>
          </w:p>
          <w:p w14:paraId="67CDB16F" w14:textId="77777777" w:rsidR="00854692" w:rsidRDefault="00854692" w:rsidP="00F27A90">
            <w:pPr>
              <w:pStyle w:val="NoSpacing"/>
              <w:rPr>
                <w:rFonts w:cs="Arial"/>
              </w:rPr>
            </w:pPr>
          </w:p>
          <w:p w14:paraId="591CE58F" w14:textId="77777777" w:rsidR="00854692" w:rsidRDefault="00854692" w:rsidP="00F27A90">
            <w:pPr>
              <w:pStyle w:val="NoSpacing"/>
              <w:rPr>
                <w:rFonts w:cs="Arial"/>
              </w:rPr>
            </w:pPr>
          </w:p>
          <w:p w14:paraId="449F90EA" w14:textId="77777777" w:rsidR="00854692" w:rsidRDefault="00854692" w:rsidP="00F27A90">
            <w:pPr>
              <w:pStyle w:val="NoSpacing"/>
              <w:rPr>
                <w:rFonts w:cs="Arial"/>
              </w:rPr>
            </w:pPr>
          </w:p>
          <w:p w14:paraId="3887456A" w14:textId="77777777" w:rsidR="00854692" w:rsidRDefault="00854692" w:rsidP="00F27A90">
            <w:pPr>
              <w:pStyle w:val="NoSpacing"/>
              <w:rPr>
                <w:rFonts w:cs="Arial"/>
              </w:rPr>
            </w:pPr>
          </w:p>
          <w:p w14:paraId="387EB645" w14:textId="77777777" w:rsidR="00854692" w:rsidRDefault="00854692" w:rsidP="00F27A90">
            <w:pPr>
              <w:pStyle w:val="NoSpacing"/>
              <w:rPr>
                <w:rFonts w:cs="Arial"/>
              </w:rPr>
            </w:pPr>
          </w:p>
          <w:p w14:paraId="702348D5" w14:textId="77777777" w:rsidR="00854692" w:rsidRDefault="00854692" w:rsidP="00F27A90">
            <w:pPr>
              <w:pStyle w:val="NoSpacing"/>
              <w:rPr>
                <w:rFonts w:cs="Arial"/>
              </w:rPr>
            </w:pPr>
          </w:p>
          <w:p w14:paraId="14AE166E" w14:textId="77777777" w:rsidR="00854692" w:rsidRDefault="00854692" w:rsidP="00F27A90">
            <w:pPr>
              <w:pStyle w:val="NoSpacing"/>
              <w:rPr>
                <w:rFonts w:cs="Arial"/>
              </w:rPr>
            </w:pPr>
          </w:p>
          <w:p w14:paraId="759F47F5" w14:textId="77777777" w:rsidR="00854692" w:rsidRDefault="00854692" w:rsidP="00F27A90">
            <w:pPr>
              <w:pStyle w:val="NoSpacing"/>
              <w:rPr>
                <w:rFonts w:cs="Arial"/>
              </w:rPr>
            </w:pPr>
          </w:p>
          <w:p w14:paraId="7A988593" w14:textId="77777777" w:rsidR="00854692" w:rsidRDefault="00854692" w:rsidP="00F27A90">
            <w:pPr>
              <w:pStyle w:val="NoSpacing"/>
              <w:rPr>
                <w:rFonts w:cs="Arial"/>
              </w:rPr>
            </w:pPr>
            <w:r>
              <w:rPr>
                <w:rFonts w:cs="Arial"/>
              </w:rPr>
              <w:t>Possible to probable</w:t>
            </w:r>
          </w:p>
          <w:p w14:paraId="4849571B" w14:textId="77777777" w:rsidR="00854692" w:rsidRDefault="00854692" w:rsidP="00F27A90">
            <w:pPr>
              <w:pStyle w:val="NoSpacing"/>
              <w:rPr>
                <w:rFonts w:cs="Arial"/>
              </w:rPr>
            </w:pPr>
          </w:p>
          <w:p w14:paraId="409F86A4" w14:textId="77777777" w:rsidR="00854692" w:rsidRDefault="00854692" w:rsidP="00F27A90">
            <w:pPr>
              <w:pStyle w:val="NoSpacing"/>
              <w:rPr>
                <w:rFonts w:cs="Arial"/>
              </w:rPr>
            </w:pPr>
          </w:p>
          <w:p w14:paraId="42FD27A1" w14:textId="77777777" w:rsidR="00854692" w:rsidRDefault="00854692" w:rsidP="00F27A90">
            <w:pPr>
              <w:pStyle w:val="NoSpacing"/>
              <w:rPr>
                <w:rFonts w:cs="Arial"/>
              </w:rPr>
            </w:pPr>
          </w:p>
          <w:p w14:paraId="04E63477" w14:textId="77777777" w:rsidR="00854692" w:rsidRDefault="00854692" w:rsidP="00F27A90">
            <w:pPr>
              <w:pStyle w:val="NoSpacing"/>
              <w:rPr>
                <w:rFonts w:cs="Arial"/>
              </w:rPr>
            </w:pPr>
          </w:p>
          <w:p w14:paraId="0E777F11" w14:textId="77777777" w:rsidR="00854692" w:rsidRDefault="00854692" w:rsidP="00F27A90">
            <w:pPr>
              <w:pStyle w:val="NoSpacing"/>
              <w:rPr>
                <w:rFonts w:cs="Arial"/>
              </w:rPr>
            </w:pPr>
          </w:p>
          <w:p w14:paraId="19526DBE" w14:textId="77777777" w:rsidR="00854692" w:rsidRDefault="00854692" w:rsidP="00F27A90">
            <w:pPr>
              <w:pStyle w:val="NoSpacing"/>
              <w:rPr>
                <w:rFonts w:cs="Arial"/>
              </w:rPr>
            </w:pPr>
          </w:p>
          <w:p w14:paraId="0A48DF34" w14:textId="77777777" w:rsidR="00854692" w:rsidRDefault="00854692" w:rsidP="00F27A90">
            <w:pPr>
              <w:pStyle w:val="NoSpacing"/>
              <w:rPr>
                <w:rFonts w:cs="Arial"/>
              </w:rPr>
            </w:pPr>
          </w:p>
          <w:p w14:paraId="28A784D1" w14:textId="77777777" w:rsidR="00854692" w:rsidRDefault="00854692" w:rsidP="00F27A90">
            <w:pPr>
              <w:pStyle w:val="NoSpacing"/>
              <w:rPr>
                <w:rFonts w:cs="Arial"/>
              </w:rPr>
            </w:pPr>
          </w:p>
          <w:p w14:paraId="3D9EFEDF" w14:textId="77777777" w:rsidR="00854692" w:rsidRDefault="00854692" w:rsidP="00F27A90">
            <w:pPr>
              <w:pStyle w:val="NoSpacing"/>
              <w:rPr>
                <w:rFonts w:cs="Arial"/>
              </w:rPr>
            </w:pPr>
          </w:p>
          <w:p w14:paraId="17A48CA7" w14:textId="77777777" w:rsidR="00854692" w:rsidRDefault="00854692" w:rsidP="00F27A90">
            <w:pPr>
              <w:pStyle w:val="NoSpacing"/>
              <w:rPr>
                <w:rFonts w:cs="Arial"/>
              </w:rPr>
            </w:pPr>
          </w:p>
          <w:p w14:paraId="1EB49BC4" w14:textId="77777777" w:rsidR="00854692" w:rsidRDefault="00854692" w:rsidP="00F27A90">
            <w:pPr>
              <w:pStyle w:val="NoSpacing"/>
              <w:rPr>
                <w:rFonts w:cs="Arial"/>
              </w:rPr>
            </w:pPr>
          </w:p>
          <w:p w14:paraId="11C8716B" w14:textId="77777777" w:rsidR="00854692" w:rsidRDefault="00854692" w:rsidP="00F27A90">
            <w:pPr>
              <w:pStyle w:val="NoSpacing"/>
              <w:rPr>
                <w:rFonts w:cs="Arial"/>
              </w:rPr>
            </w:pPr>
          </w:p>
          <w:p w14:paraId="51B3C6B9" w14:textId="77777777" w:rsidR="00854692" w:rsidRPr="00DE3D81" w:rsidRDefault="00854692" w:rsidP="00F27A90">
            <w:pPr>
              <w:pStyle w:val="NoSpacing"/>
              <w:rPr>
                <w:rFonts w:cs="Arial"/>
              </w:rPr>
            </w:pPr>
            <w:r>
              <w:rPr>
                <w:rFonts w:cs="Arial"/>
              </w:rPr>
              <w:t>Probable</w:t>
            </w:r>
          </w:p>
        </w:tc>
        <w:tc>
          <w:tcPr>
            <w:tcW w:w="1059" w:type="pct"/>
          </w:tcPr>
          <w:p w14:paraId="78DB9187" w14:textId="77777777" w:rsidR="00854692" w:rsidRDefault="00854692" w:rsidP="00F27A90">
            <w:pPr>
              <w:pStyle w:val="NoSpacing"/>
              <w:rPr>
                <w:rFonts w:cs="Arial"/>
              </w:rPr>
            </w:pPr>
          </w:p>
          <w:p w14:paraId="1A6ADE95" w14:textId="77777777" w:rsidR="00854692" w:rsidRDefault="00854692" w:rsidP="00F27A90">
            <w:pPr>
              <w:pStyle w:val="NoSpacing"/>
              <w:rPr>
                <w:rFonts w:cs="Arial"/>
              </w:rPr>
            </w:pPr>
          </w:p>
          <w:p w14:paraId="10E9BB65" w14:textId="77777777" w:rsidR="00854692" w:rsidRDefault="00854692" w:rsidP="00F27A90">
            <w:pPr>
              <w:pStyle w:val="NoSpacing"/>
              <w:rPr>
                <w:rFonts w:cs="Arial"/>
              </w:rPr>
            </w:pPr>
          </w:p>
          <w:p w14:paraId="71C6CD2F" w14:textId="77777777" w:rsidR="00854692" w:rsidRDefault="00854692" w:rsidP="00F27A90">
            <w:pPr>
              <w:pStyle w:val="NoSpacing"/>
              <w:rPr>
                <w:rFonts w:cs="Arial"/>
              </w:rPr>
            </w:pPr>
          </w:p>
          <w:p w14:paraId="72BA6674" w14:textId="77777777" w:rsidR="00854692" w:rsidRDefault="00854692" w:rsidP="00F27A90">
            <w:pPr>
              <w:pStyle w:val="NoSpacing"/>
              <w:rPr>
                <w:rFonts w:cs="Arial"/>
              </w:rPr>
            </w:pPr>
          </w:p>
          <w:p w14:paraId="73F95D02" w14:textId="77777777" w:rsidR="00854692" w:rsidRDefault="00854692" w:rsidP="00F27A90">
            <w:pPr>
              <w:pStyle w:val="NoSpacing"/>
              <w:rPr>
                <w:rFonts w:cs="Arial"/>
              </w:rPr>
            </w:pPr>
          </w:p>
          <w:p w14:paraId="40721315" w14:textId="77777777" w:rsidR="00854692" w:rsidRDefault="00854692" w:rsidP="00F27A90">
            <w:pPr>
              <w:pStyle w:val="NoSpacing"/>
              <w:rPr>
                <w:rFonts w:cs="Arial"/>
              </w:rPr>
            </w:pPr>
          </w:p>
          <w:p w14:paraId="7352E21F" w14:textId="77777777" w:rsidR="00854692" w:rsidRDefault="00854692" w:rsidP="00F27A90">
            <w:pPr>
              <w:pStyle w:val="NoSpacing"/>
              <w:rPr>
                <w:rFonts w:cs="Arial"/>
              </w:rPr>
            </w:pPr>
            <w:r>
              <w:rPr>
                <w:rFonts w:cs="Arial"/>
              </w:rPr>
              <w:t>Significant to severe</w:t>
            </w:r>
          </w:p>
          <w:p w14:paraId="4DB9A2C4" w14:textId="77777777" w:rsidR="00854692" w:rsidRDefault="00854692" w:rsidP="00F27A90">
            <w:pPr>
              <w:pStyle w:val="NoSpacing"/>
              <w:rPr>
                <w:rFonts w:cs="Arial"/>
              </w:rPr>
            </w:pPr>
          </w:p>
          <w:p w14:paraId="65A61B6F" w14:textId="77777777" w:rsidR="00854692" w:rsidRDefault="00854692" w:rsidP="00F27A90">
            <w:pPr>
              <w:pStyle w:val="NoSpacing"/>
              <w:rPr>
                <w:rFonts w:cs="Arial"/>
              </w:rPr>
            </w:pPr>
          </w:p>
          <w:p w14:paraId="3077502F" w14:textId="77777777" w:rsidR="00854692" w:rsidRDefault="00854692" w:rsidP="00F27A90">
            <w:pPr>
              <w:pStyle w:val="NoSpacing"/>
              <w:rPr>
                <w:rFonts w:cs="Arial"/>
              </w:rPr>
            </w:pPr>
          </w:p>
          <w:p w14:paraId="6C4BF343" w14:textId="77777777" w:rsidR="00854692" w:rsidRDefault="00854692" w:rsidP="00F27A90">
            <w:pPr>
              <w:pStyle w:val="NoSpacing"/>
              <w:rPr>
                <w:rFonts w:cs="Arial"/>
              </w:rPr>
            </w:pPr>
          </w:p>
          <w:p w14:paraId="38C04987" w14:textId="77777777" w:rsidR="00854692" w:rsidRDefault="00854692" w:rsidP="00F27A90">
            <w:pPr>
              <w:pStyle w:val="NoSpacing"/>
              <w:rPr>
                <w:rFonts w:cs="Arial"/>
              </w:rPr>
            </w:pPr>
          </w:p>
          <w:p w14:paraId="43D18102" w14:textId="77777777" w:rsidR="00854692" w:rsidRDefault="00854692" w:rsidP="00F27A90">
            <w:pPr>
              <w:pStyle w:val="NoSpacing"/>
              <w:rPr>
                <w:rFonts w:cs="Arial"/>
              </w:rPr>
            </w:pPr>
          </w:p>
          <w:p w14:paraId="574EEFB5" w14:textId="77777777" w:rsidR="00854692" w:rsidRDefault="00854692" w:rsidP="00F27A90">
            <w:pPr>
              <w:pStyle w:val="NoSpacing"/>
              <w:rPr>
                <w:rFonts w:cs="Arial"/>
              </w:rPr>
            </w:pPr>
          </w:p>
          <w:p w14:paraId="0A4EE59F" w14:textId="77777777" w:rsidR="00854692" w:rsidRDefault="00854692" w:rsidP="00F27A90">
            <w:pPr>
              <w:pStyle w:val="NoSpacing"/>
              <w:rPr>
                <w:rFonts w:cs="Arial"/>
              </w:rPr>
            </w:pPr>
          </w:p>
          <w:p w14:paraId="0FCBC9B3" w14:textId="77777777" w:rsidR="00854692" w:rsidRDefault="00854692" w:rsidP="00F27A90">
            <w:pPr>
              <w:pStyle w:val="NoSpacing"/>
              <w:rPr>
                <w:rFonts w:cs="Arial"/>
              </w:rPr>
            </w:pPr>
            <w:r>
              <w:rPr>
                <w:rFonts w:cs="Arial"/>
              </w:rPr>
              <w:t>Significant to severe</w:t>
            </w:r>
          </w:p>
          <w:p w14:paraId="18058FB4" w14:textId="77777777" w:rsidR="00854692" w:rsidRDefault="00854692" w:rsidP="00F27A90">
            <w:pPr>
              <w:pStyle w:val="NoSpacing"/>
              <w:rPr>
                <w:rFonts w:cs="Arial"/>
              </w:rPr>
            </w:pPr>
          </w:p>
          <w:p w14:paraId="28669E4B" w14:textId="77777777" w:rsidR="00854692" w:rsidRDefault="00854692" w:rsidP="00F27A90">
            <w:pPr>
              <w:pStyle w:val="NoSpacing"/>
              <w:rPr>
                <w:rFonts w:cs="Arial"/>
              </w:rPr>
            </w:pPr>
          </w:p>
          <w:p w14:paraId="03D37C0A" w14:textId="77777777" w:rsidR="00854692" w:rsidRDefault="00854692" w:rsidP="00F27A90">
            <w:pPr>
              <w:pStyle w:val="NoSpacing"/>
              <w:rPr>
                <w:rFonts w:cs="Arial"/>
              </w:rPr>
            </w:pPr>
          </w:p>
          <w:p w14:paraId="634A4879" w14:textId="77777777" w:rsidR="00854692" w:rsidRDefault="00854692" w:rsidP="00F27A90">
            <w:pPr>
              <w:pStyle w:val="NoSpacing"/>
              <w:rPr>
                <w:rFonts w:cs="Arial"/>
              </w:rPr>
            </w:pPr>
          </w:p>
          <w:p w14:paraId="33CB36AE" w14:textId="77777777" w:rsidR="00854692" w:rsidRDefault="00854692" w:rsidP="00F27A90">
            <w:pPr>
              <w:pStyle w:val="NoSpacing"/>
              <w:rPr>
                <w:rFonts w:cs="Arial"/>
              </w:rPr>
            </w:pPr>
          </w:p>
          <w:p w14:paraId="15FD7A32" w14:textId="77777777" w:rsidR="00854692" w:rsidRDefault="00854692" w:rsidP="00F27A90">
            <w:pPr>
              <w:pStyle w:val="NoSpacing"/>
              <w:rPr>
                <w:rFonts w:cs="Arial"/>
              </w:rPr>
            </w:pPr>
          </w:p>
          <w:p w14:paraId="3845807E" w14:textId="77777777" w:rsidR="00854692" w:rsidRDefault="00854692" w:rsidP="00F27A90">
            <w:pPr>
              <w:pStyle w:val="NoSpacing"/>
              <w:rPr>
                <w:rFonts w:cs="Arial"/>
              </w:rPr>
            </w:pPr>
          </w:p>
          <w:p w14:paraId="5D5F41AE" w14:textId="77777777" w:rsidR="00854692" w:rsidRDefault="00854692" w:rsidP="00F27A90">
            <w:pPr>
              <w:pStyle w:val="NoSpacing"/>
              <w:rPr>
                <w:rFonts w:cs="Arial"/>
              </w:rPr>
            </w:pPr>
          </w:p>
          <w:p w14:paraId="2A679D3C" w14:textId="77777777" w:rsidR="00854692" w:rsidRDefault="00854692" w:rsidP="00F27A90">
            <w:pPr>
              <w:pStyle w:val="NoSpacing"/>
              <w:rPr>
                <w:rFonts w:cs="Arial"/>
              </w:rPr>
            </w:pPr>
          </w:p>
          <w:p w14:paraId="6407C549" w14:textId="77777777" w:rsidR="00854692" w:rsidRDefault="00854692" w:rsidP="00F27A90">
            <w:pPr>
              <w:pStyle w:val="NoSpacing"/>
              <w:rPr>
                <w:rFonts w:cs="Arial"/>
              </w:rPr>
            </w:pPr>
          </w:p>
          <w:p w14:paraId="19286E18" w14:textId="77777777" w:rsidR="00854692" w:rsidRDefault="00854692" w:rsidP="00F27A90">
            <w:pPr>
              <w:pStyle w:val="NoSpacing"/>
              <w:rPr>
                <w:rFonts w:cs="Arial"/>
              </w:rPr>
            </w:pPr>
          </w:p>
          <w:p w14:paraId="3F1449C3" w14:textId="77777777" w:rsidR="00854692" w:rsidRDefault="00854692" w:rsidP="00F27A90">
            <w:pPr>
              <w:pStyle w:val="NoSpacing"/>
              <w:rPr>
                <w:rFonts w:cs="Arial"/>
              </w:rPr>
            </w:pPr>
          </w:p>
          <w:p w14:paraId="085E9CC7" w14:textId="77777777" w:rsidR="00854692" w:rsidRDefault="00854692" w:rsidP="00F27A90">
            <w:pPr>
              <w:pStyle w:val="NoSpacing"/>
              <w:rPr>
                <w:rFonts w:cs="Arial"/>
              </w:rPr>
            </w:pPr>
            <w:r>
              <w:rPr>
                <w:rFonts w:cs="Arial"/>
              </w:rPr>
              <w:t>Significant to be in breach of data protection obligations to third parties.</w:t>
            </w:r>
          </w:p>
          <w:p w14:paraId="30B13717" w14:textId="77777777" w:rsidR="00854692" w:rsidRPr="00DE3D81" w:rsidRDefault="00854692" w:rsidP="00F27A90">
            <w:pPr>
              <w:pStyle w:val="NoSpacing"/>
              <w:rPr>
                <w:rFonts w:cs="Arial"/>
              </w:rPr>
            </w:pPr>
          </w:p>
        </w:tc>
        <w:tc>
          <w:tcPr>
            <w:tcW w:w="761" w:type="pct"/>
          </w:tcPr>
          <w:p w14:paraId="199B3B0F" w14:textId="77777777" w:rsidR="00854692" w:rsidRDefault="00854692" w:rsidP="00F27A90">
            <w:pPr>
              <w:pStyle w:val="NoSpacing"/>
              <w:rPr>
                <w:rFonts w:cs="Arial"/>
              </w:rPr>
            </w:pPr>
          </w:p>
          <w:p w14:paraId="73356FC9" w14:textId="77777777" w:rsidR="00854692" w:rsidRDefault="00854692" w:rsidP="00F27A90">
            <w:pPr>
              <w:pStyle w:val="NoSpacing"/>
              <w:rPr>
                <w:rFonts w:cs="Arial"/>
              </w:rPr>
            </w:pPr>
          </w:p>
          <w:p w14:paraId="640E5AD8" w14:textId="77777777" w:rsidR="00854692" w:rsidRDefault="00854692" w:rsidP="00F27A90">
            <w:pPr>
              <w:pStyle w:val="NoSpacing"/>
              <w:rPr>
                <w:rFonts w:cs="Arial"/>
              </w:rPr>
            </w:pPr>
          </w:p>
          <w:p w14:paraId="15BFEECE" w14:textId="77777777" w:rsidR="00854692" w:rsidRDefault="00854692" w:rsidP="00F27A90">
            <w:pPr>
              <w:pStyle w:val="NoSpacing"/>
              <w:rPr>
                <w:rFonts w:cs="Arial"/>
              </w:rPr>
            </w:pPr>
          </w:p>
          <w:p w14:paraId="7F39229C" w14:textId="77777777" w:rsidR="00854692" w:rsidRDefault="00854692" w:rsidP="00F27A90">
            <w:pPr>
              <w:pStyle w:val="NoSpacing"/>
              <w:rPr>
                <w:rFonts w:cs="Arial"/>
              </w:rPr>
            </w:pPr>
          </w:p>
          <w:p w14:paraId="4DF1A957" w14:textId="77777777" w:rsidR="00854692" w:rsidRDefault="00854692" w:rsidP="00F27A90">
            <w:pPr>
              <w:pStyle w:val="NoSpacing"/>
              <w:rPr>
                <w:rFonts w:cs="Arial"/>
              </w:rPr>
            </w:pPr>
          </w:p>
          <w:p w14:paraId="4AFA5362" w14:textId="77777777" w:rsidR="00854692" w:rsidRDefault="00854692" w:rsidP="00F27A90">
            <w:pPr>
              <w:pStyle w:val="NoSpacing"/>
              <w:rPr>
                <w:rFonts w:cs="Arial"/>
              </w:rPr>
            </w:pPr>
          </w:p>
          <w:p w14:paraId="005DBC35" w14:textId="77777777" w:rsidR="00854692" w:rsidRDefault="00854692" w:rsidP="00F27A90">
            <w:pPr>
              <w:pStyle w:val="NoSpacing"/>
              <w:rPr>
                <w:rFonts w:cs="Arial"/>
              </w:rPr>
            </w:pPr>
            <w:r>
              <w:rPr>
                <w:rFonts w:cs="Arial"/>
              </w:rPr>
              <w:t>Medium to high</w:t>
            </w:r>
          </w:p>
          <w:p w14:paraId="2709FC6C" w14:textId="77777777" w:rsidR="00854692" w:rsidRDefault="00854692" w:rsidP="00F27A90">
            <w:pPr>
              <w:pStyle w:val="NoSpacing"/>
              <w:rPr>
                <w:rFonts w:cs="Arial"/>
              </w:rPr>
            </w:pPr>
          </w:p>
          <w:p w14:paraId="4525736F" w14:textId="77777777" w:rsidR="00854692" w:rsidRDefault="00854692" w:rsidP="00F27A90">
            <w:pPr>
              <w:pStyle w:val="NoSpacing"/>
              <w:rPr>
                <w:rFonts w:cs="Arial"/>
              </w:rPr>
            </w:pPr>
          </w:p>
          <w:p w14:paraId="48CA3407" w14:textId="77777777" w:rsidR="00854692" w:rsidRDefault="00854692" w:rsidP="00F27A90">
            <w:pPr>
              <w:pStyle w:val="NoSpacing"/>
              <w:rPr>
                <w:rFonts w:cs="Arial"/>
              </w:rPr>
            </w:pPr>
          </w:p>
          <w:p w14:paraId="103ACE0F" w14:textId="77777777" w:rsidR="00854692" w:rsidRDefault="00854692" w:rsidP="00F27A90">
            <w:pPr>
              <w:pStyle w:val="NoSpacing"/>
              <w:rPr>
                <w:rFonts w:cs="Arial"/>
              </w:rPr>
            </w:pPr>
          </w:p>
          <w:p w14:paraId="3AFFBCF0" w14:textId="77777777" w:rsidR="00854692" w:rsidRDefault="00854692" w:rsidP="00F27A90">
            <w:pPr>
              <w:pStyle w:val="NoSpacing"/>
              <w:rPr>
                <w:rFonts w:cs="Arial"/>
              </w:rPr>
            </w:pPr>
          </w:p>
          <w:p w14:paraId="00001277" w14:textId="77777777" w:rsidR="00854692" w:rsidRDefault="00854692" w:rsidP="00F27A90">
            <w:pPr>
              <w:pStyle w:val="NoSpacing"/>
              <w:rPr>
                <w:rFonts w:cs="Arial"/>
              </w:rPr>
            </w:pPr>
          </w:p>
          <w:p w14:paraId="1DD11974" w14:textId="77777777" w:rsidR="00854692" w:rsidRDefault="00854692" w:rsidP="00F27A90">
            <w:pPr>
              <w:pStyle w:val="NoSpacing"/>
              <w:rPr>
                <w:rFonts w:cs="Arial"/>
              </w:rPr>
            </w:pPr>
          </w:p>
          <w:p w14:paraId="79CA2FC9" w14:textId="77777777" w:rsidR="00854692" w:rsidRDefault="00854692" w:rsidP="00F27A90">
            <w:pPr>
              <w:pStyle w:val="NoSpacing"/>
              <w:rPr>
                <w:rFonts w:cs="Arial"/>
              </w:rPr>
            </w:pPr>
          </w:p>
          <w:p w14:paraId="5C9825EF" w14:textId="77777777" w:rsidR="00854692" w:rsidRDefault="00854692" w:rsidP="00F27A90">
            <w:pPr>
              <w:pStyle w:val="NoSpacing"/>
              <w:rPr>
                <w:rFonts w:cs="Arial"/>
              </w:rPr>
            </w:pPr>
            <w:r>
              <w:rPr>
                <w:rFonts w:cs="Arial"/>
              </w:rPr>
              <w:t>Medium to high</w:t>
            </w:r>
          </w:p>
          <w:p w14:paraId="53F41BAA" w14:textId="77777777" w:rsidR="00854692" w:rsidRDefault="00854692" w:rsidP="00F27A90">
            <w:pPr>
              <w:pStyle w:val="NoSpacing"/>
              <w:rPr>
                <w:rFonts w:cs="Arial"/>
              </w:rPr>
            </w:pPr>
          </w:p>
          <w:p w14:paraId="56D61A6E" w14:textId="77777777" w:rsidR="00854692" w:rsidRDefault="00854692" w:rsidP="00F27A90">
            <w:pPr>
              <w:pStyle w:val="NoSpacing"/>
              <w:rPr>
                <w:rFonts w:cs="Arial"/>
              </w:rPr>
            </w:pPr>
          </w:p>
          <w:p w14:paraId="6EC0C759" w14:textId="77777777" w:rsidR="00854692" w:rsidRDefault="00854692" w:rsidP="00F27A90">
            <w:pPr>
              <w:pStyle w:val="NoSpacing"/>
              <w:rPr>
                <w:rFonts w:cs="Arial"/>
              </w:rPr>
            </w:pPr>
          </w:p>
          <w:p w14:paraId="74AC95EB" w14:textId="77777777" w:rsidR="00854692" w:rsidRDefault="00854692" w:rsidP="00F27A90">
            <w:pPr>
              <w:pStyle w:val="NoSpacing"/>
              <w:rPr>
                <w:rFonts w:cs="Arial"/>
              </w:rPr>
            </w:pPr>
          </w:p>
          <w:p w14:paraId="1C004A7D" w14:textId="77777777" w:rsidR="00854692" w:rsidRDefault="00854692" w:rsidP="00F27A90">
            <w:pPr>
              <w:pStyle w:val="NoSpacing"/>
              <w:rPr>
                <w:rFonts w:cs="Arial"/>
              </w:rPr>
            </w:pPr>
          </w:p>
          <w:p w14:paraId="52366976" w14:textId="77777777" w:rsidR="00854692" w:rsidRDefault="00854692" w:rsidP="00F27A90">
            <w:pPr>
              <w:pStyle w:val="NoSpacing"/>
              <w:rPr>
                <w:rFonts w:cs="Arial"/>
              </w:rPr>
            </w:pPr>
          </w:p>
          <w:p w14:paraId="0C78BBB9" w14:textId="77777777" w:rsidR="00854692" w:rsidRDefault="00854692" w:rsidP="00F27A90">
            <w:pPr>
              <w:pStyle w:val="NoSpacing"/>
              <w:rPr>
                <w:rFonts w:cs="Arial"/>
              </w:rPr>
            </w:pPr>
          </w:p>
          <w:p w14:paraId="0EC6523F" w14:textId="77777777" w:rsidR="00854692" w:rsidRDefault="00854692" w:rsidP="00F27A90">
            <w:pPr>
              <w:pStyle w:val="NoSpacing"/>
              <w:rPr>
                <w:rFonts w:cs="Arial"/>
              </w:rPr>
            </w:pPr>
          </w:p>
          <w:p w14:paraId="694DEA8A" w14:textId="77777777" w:rsidR="00854692" w:rsidRDefault="00854692" w:rsidP="00F27A90">
            <w:pPr>
              <w:pStyle w:val="NoSpacing"/>
              <w:rPr>
                <w:rFonts w:cs="Arial"/>
              </w:rPr>
            </w:pPr>
          </w:p>
          <w:p w14:paraId="6D2B9E0D" w14:textId="77777777" w:rsidR="00854692" w:rsidRDefault="00854692" w:rsidP="00F27A90">
            <w:pPr>
              <w:pStyle w:val="NoSpacing"/>
              <w:rPr>
                <w:rFonts w:cs="Arial"/>
              </w:rPr>
            </w:pPr>
          </w:p>
          <w:p w14:paraId="3D5B4478" w14:textId="77777777" w:rsidR="00854692" w:rsidRDefault="00854692" w:rsidP="00F27A90">
            <w:pPr>
              <w:pStyle w:val="NoSpacing"/>
              <w:rPr>
                <w:rFonts w:cs="Arial"/>
              </w:rPr>
            </w:pPr>
          </w:p>
          <w:p w14:paraId="715E9139" w14:textId="77777777" w:rsidR="00854692" w:rsidRDefault="00854692" w:rsidP="00F27A90">
            <w:pPr>
              <w:pStyle w:val="NoSpacing"/>
              <w:rPr>
                <w:rFonts w:cs="Arial"/>
              </w:rPr>
            </w:pPr>
          </w:p>
          <w:p w14:paraId="53F62B8C" w14:textId="77777777" w:rsidR="00854692" w:rsidRPr="00DE3D81" w:rsidRDefault="00854692" w:rsidP="00F27A90">
            <w:pPr>
              <w:pStyle w:val="NoSpacing"/>
              <w:rPr>
                <w:rFonts w:cs="Arial"/>
              </w:rPr>
            </w:pPr>
            <w:r>
              <w:rPr>
                <w:rFonts w:cs="Arial"/>
              </w:rPr>
              <w:t xml:space="preserve">Medium </w:t>
            </w:r>
          </w:p>
        </w:tc>
      </w:tr>
      <w:tr w:rsidR="00854692" w:rsidRPr="00DE3D81" w14:paraId="3B945A6E" w14:textId="77777777" w:rsidTr="00F27A90">
        <w:trPr>
          <w:trHeight w:val="57"/>
        </w:trPr>
        <w:tc>
          <w:tcPr>
            <w:tcW w:w="187" w:type="pct"/>
          </w:tcPr>
          <w:p w14:paraId="39E7F799" w14:textId="77777777" w:rsidR="00854692" w:rsidRDefault="00854692" w:rsidP="00F27A90">
            <w:pPr>
              <w:pStyle w:val="NoSpacing"/>
              <w:rPr>
                <w:rFonts w:cs="Arial"/>
              </w:rPr>
            </w:pPr>
            <w:r>
              <w:rPr>
                <w:rFonts w:cs="Arial"/>
              </w:rPr>
              <w:lastRenderedPageBreak/>
              <w:t>5.</w:t>
            </w:r>
          </w:p>
        </w:tc>
        <w:tc>
          <w:tcPr>
            <w:tcW w:w="1928" w:type="pct"/>
          </w:tcPr>
          <w:p w14:paraId="13127D7B" w14:textId="77777777" w:rsidR="00854692" w:rsidRDefault="00854692" w:rsidP="00F27A90">
            <w:pPr>
              <w:pStyle w:val="NoSpacing"/>
              <w:rPr>
                <w:rFonts w:cs="Arial"/>
              </w:rPr>
            </w:pPr>
            <w:r>
              <w:rPr>
                <w:rFonts w:cs="Arial"/>
                <w:u w:val="single"/>
              </w:rPr>
              <w:t>Risk that the IT infrastructure is not secure</w:t>
            </w:r>
            <w:r>
              <w:rPr>
                <w:rFonts w:cs="Arial"/>
              </w:rPr>
              <w:t>:</w:t>
            </w:r>
          </w:p>
          <w:p w14:paraId="47648371" w14:textId="77777777" w:rsidR="00854692" w:rsidRDefault="00854692" w:rsidP="00F27A90">
            <w:pPr>
              <w:pStyle w:val="NoSpacing"/>
              <w:rPr>
                <w:rFonts w:cs="Arial"/>
              </w:rPr>
            </w:pPr>
          </w:p>
          <w:p w14:paraId="761362E2" w14:textId="77777777" w:rsidR="00854692" w:rsidRDefault="00854692" w:rsidP="00F27A90">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C57A53" w14:textId="77777777" w:rsidR="00854692" w:rsidRDefault="00854692" w:rsidP="00F27A90">
            <w:pPr>
              <w:pStyle w:val="NoSpacing"/>
              <w:rPr>
                <w:rFonts w:cs="Arial"/>
              </w:rPr>
            </w:pPr>
          </w:p>
          <w:p w14:paraId="12F2B6AB" w14:textId="77777777" w:rsidR="00854692" w:rsidRPr="00574FBE" w:rsidRDefault="00854692" w:rsidP="00F27A90">
            <w:pPr>
              <w:pStyle w:val="NoSpacing"/>
              <w:rPr>
                <w:rFonts w:cs="Arial"/>
              </w:rPr>
            </w:pPr>
          </w:p>
        </w:tc>
        <w:tc>
          <w:tcPr>
            <w:tcW w:w="1064" w:type="pct"/>
          </w:tcPr>
          <w:p w14:paraId="045682E9" w14:textId="77777777" w:rsidR="00854692" w:rsidRDefault="00854692" w:rsidP="00F27A90">
            <w:pPr>
              <w:pStyle w:val="NoSpacing"/>
              <w:rPr>
                <w:rFonts w:cs="Arial"/>
              </w:rPr>
            </w:pPr>
            <w:r>
              <w:rPr>
                <w:rFonts w:cs="Arial"/>
              </w:rPr>
              <w:lastRenderedPageBreak/>
              <w:t>Possible it could happen</w:t>
            </w:r>
          </w:p>
        </w:tc>
        <w:tc>
          <w:tcPr>
            <w:tcW w:w="1059" w:type="pct"/>
          </w:tcPr>
          <w:p w14:paraId="05E8CE62" w14:textId="77777777" w:rsidR="00854692" w:rsidRDefault="00854692" w:rsidP="00F27A90">
            <w:pPr>
              <w:pStyle w:val="NoSpacing"/>
              <w:rPr>
                <w:rFonts w:cs="Arial"/>
              </w:rPr>
            </w:pPr>
            <w:r>
              <w:rPr>
                <w:rFonts w:cs="Arial"/>
              </w:rPr>
              <w:t>Significant if it happens</w:t>
            </w:r>
          </w:p>
        </w:tc>
        <w:tc>
          <w:tcPr>
            <w:tcW w:w="761" w:type="pct"/>
          </w:tcPr>
          <w:p w14:paraId="4F423FBF" w14:textId="77777777" w:rsidR="00854692" w:rsidRDefault="00854692" w:rsidP="00F27A90">
            <w:pPr>
              <w:pStyle w:val="NoSpacing"/>
              <w:rPr>
                <w:rFonts w:cs="Arial"/>
              </w:rPr>
            </w:pPr>
            <w:r>
              <w:rPr>
                <w:rFonts w:cs="Arial"/>
              </w:rPr>
              <w:t>Unknown</w:t>
            </w:r>
          </w:p>
        </w:tc>
      </w:tr>
      <w:tr w:rsidR="00854692" w:rsidRPr="00DE3D81" w14:paraId="6E3655B1" w14:textId="77777777" w:rsidTr="00F27A90">
        <w:trPr>
          <w:trHeight w:val="57"/>
        </w:trPr>
        <w:tc>
          <w:tcPr>
            <w:tcW w:w="187" w:type="pct"/>
          </w:tcPr>
          <w:p w14:paraId="455DF1D9" w14:textId="77777777" w:rsidR="00854692" w:rsidRDefault="00854692" w:rsidP="00F27A90">
            <w:pPr>
              <w:pStyle w:val="NoSpacing"/>
              <w:rPr>
                <w:rFonts w:cs="Arial"/>
              </w:rPr>
            </w:pPr>
            <w:r>
              <w:rPr>
                <w:rFonts w:cs="Arial"/>
              </w:rPr>
              <w:t xml:space="preserve">[6.] </w:t>
            </w:r>
          </w:p>
        </w:tc>
        <w:tc>
          <w:tcPr>
            <w:tcW w:w="1928" w:type="pct"/>
          </w:tcPr>
          <w:p w14:paraId="4013DB0A" w14:textId="77777777" w:rsidR="00854692" w:rsidRDefault="00854692" w:rsidP="00F27A90">
            <w:pPr>
              <w:pStyle w:val="NoSpacing"/>
              <w:rPr>
                <w:rFonts w:cs="Arial"/>
              </w:rPr>
            </w:pPr>
            <w:r>
              <w:rPr>
                <w:rFonts w:cs="Arial"/>
              </w:rPr>
              <w:t>[DELETE IF NO USE OF DOCMAN]</w:t>
            </w:r>
          </w:p>
          <w:p w14:paraId="54C6D3DE" w14:textId="77777777" w:rsidR="00854692" w:rsidRPr="00DB6F8A" w:rsidRDefault="00854692" w:rsidP="00F27A90">
            <w:pPr>
              <w:pStyle w:val="NoSpacing"/>
              <w:rPr>
                <w:rFonts w:cs="Arial"/>
              </w:rPr>
            </w:pPr>
          </w:p>
          <w:p w14:paraId="6ABABF31" w14:textId="77777777" w:rsidR="00854692" w:rsidRDefault="00854692" w:rsidP="00F27A90">
            <w:pPr>
              <w:pStyle w:val="NoSpacing"/>
              <w:rPr>
                <w:rFonts w:cs="Arial"/>
              </w:rPr>
            </w:pPr>
            <w:r>
              <w:rPr>
                <w:rFonts w:cs="Arial"/>
                <w:u w:val="single"/>
              </w:rPr>
              <w:t>[Capability of redaction software</w:t>
            </w:r>
            <w:r>
              <w:rPr>
                <w:rFonts w:cs="Arial"/>
              </w:rPr>
              <w:t>:</w:t>
            </w:r>
          </w:p>
          <w:p w14:paraId="1945A8F3" w14:textId="77777777" w:rsidR="00854692" w:rsidRDefault="00854692" w:rsidP="00F27A90">
            <w:pPr>
              <w:pStyle w:val="NoSpacing"/>
              <w:rPr>
                <w:rFonts w:cs="Arial"/>
              </w:rPr>
            </w:pPr>
          </w:p>
          <w:p w14:paraId="206F2634" w14:textId="77777777" w:rsidR="00854692" w:rsidRDefault="00854692" w:rsidP="00F27A90">
            <w:pPr>
              <w:pStyle w:val="NoSpacing"/>
              <w:rPr>
                <w:rFonts w:cs="Arial"/>
              </w:rPr>
            </w:pPr>
            <w:r w:rsidRPr="00574FBE">
              <w:rPr>
                <w:rFonts w:cs="Arial"/>
              </w:rPr>
              <w:t xml:space="preserve">There are </w:t>
            </w:r>
            <w:proofErr w:type="gramStart"/>
            <w:r w:rsidRPr="00574FBE">
              <w:rPr>
                <w:rFonts w:cs="Arial"/>
              </w:rPr>
              <w:t>a number of</w:t>
            </w:r>
            <w:proofErr w:type="gramEnd"/>
            <w:r w:rsidRPr="00574FBE">
              <w:rPr>
                <w:rFonts w:cs="Arial"/>
              </w:rPr>
              <w:t xml:space="preserve"> potential risks arising out of the primary inadequate redaction software, </w:t>
            </w:r>
            <w:proofErr w:type="spellStart"/>
            <w:r w:rsidRPr="00574FBE">
              <w:rPr>
                <w:rFonts w:cs="Arial"/>
              </w:rPr>
              <w:t>Docman</w:t>
            </w:r>
            <w:proofErr w:type="spellEnd"/>
            <w:r w:rsidRPr="00574FBE">
              <w:rPr>
                <w:rFonts w:cs="Arial"/>
              </w:rPr>
              <w:t>, which has been provided by NHS England and which is used by many GP practices. The risks are highlighted separately below</w:t>
            </w:r>
            <w:r>
              <w:rPr>
                <w:rFonts w:cs="Arial"/>
              </w:rPr>
              <w:t xml:space="preserve">: </w:t>
            </w:r>
          </w:p>
          <w:p w14:paraId="63196E02" w14:textId="77777777" w:rsidR="00854692" w:rsidRDefault="00854692" w:rsidP="00F27A90">
            <w:pPr>
              <w:pStyle w:val="NoSpacing"/>
              <w:rPr>
                <w:rFonts w:cs="Arial"/>
              </w:rPr>
            </w:pPr>
          </w:p>
          <w:p w14:paraId="619E29C0" w14:textId="77777777" w:rsidR="00854692" w:rsidRDefault="00854692" w:rsidP="00854692">
            <w:pPr>
              <w:pStyle w:val="NoSpacing"/>
              <w:numPr>
                <w:ilvl w:val="0"/>
                <w:numId w:val="3"/>
              </w:numPr>
              <w:rPr>
                <w:rFonts w:cs="Arial"/>
              </w:rPr>
            </w:pPr>
            <w:r w:rsidRPr="00574FBE">
              <w:rPr>
                <w:rFonts w:cs="Arial"/>
              </w:rPr>
              <w:t xml:space="preserve">The </w:t>
            </w:r>
            <w:proofErr w:type="spellStart"/>
            <w:r w:rsidRPr="00574FBE">
              <w:rPr>
                <w:rFonts w:cs="Arial"/>
              </w:rPr>
              <w:t>Docman</w:t>
            </w:r>
            <w:proofErr w:type="spellEnd"/>
            <w:r w:rsidRPr="00574FBE">
              <w:rPr>
                <w:rFonts w:cs="Arial"/>
              </w:rPr>
              <w:t xml:space="preserve"> software can only allow redaction of a single word/line/paragraph in a document at the point of filing and before clinical review has occurred. The redaction, once passed to EMIS, is to be considered permanent. This redacted version is what will transfer via GP2GP should the patient move practice. The software also allows an entire document to be hidden from online view. A hidden document will still transfer via GP2GP should the patient move practice.  There is a danger that if a document requires redaction and this is done at the point of filing then critical clinical data linked to the necessary redaction will be lost;</w:t>
            </w:r>
            <w:r>
              <w:rPr>
                <w:rFonts w:cs="Arial"/>
              </w:rPr>
              <w:t xml:space="preserve"> and</w:t>
            </w:r>
          </w:p>
          <w:p w14:paraId="0BB4A197" w14:textId="77777777" w:rsidR="00854692" w:rsidRDefault="00854692" w:rsidP="00F27A90">
            <w:pPr>
              <w:pStyle w:val="NoSpacing"/>
              <w:ind w:left="720"/>
              <w:rPr>
                <w:rFonts w:cs="Arial"/>
              </w:rPr>
            </w:pPr>
          </w:p>
          <w:p w14:paraId="2BA7D47B" w14:textId="77777777" w:rsidR="00854692" w:rsidRDefault="00854692" w:rsidP="00854692">
            <w:pPr>
              <w:pStyle w:val="NoSpacing"/>
              <w:numPr>
                <w:ilvl w:val="0"/>
                <w:numId w:val="3"/>
              </w:numPr>
              <w:rPr>
                <w:rFonts w:cs="Arial"/>
              </w:rPr>
            </w:pPr>
            <w:r w:rsidRPr="00574FBE">
              <w:rPr>
                <w:rFonts w:cs="Arial"/>
              </w:rPr>
              <w:t xml:space="preserve">A clinician wishing to preserve valuable clinical information may elect not to redact where a redaction ought to have been made, or accidentally fails to redact where third party information is present and </w:t>
            </w:r>
            <w:proofErr w:type="gramStart"/>
            <w:r w:rsidRPr="00574FBE">
              <w:rPr>
                <w:rFonts w:cs="Arial"/>
              </w:rPr>
              <w:t>third party</w:t>
            </w:r>
            <w:proofErr w:type="gramEnd"/>
            <w:r w:rsidRPr="00574FBE">
              <w:rPr>
                <w:rFonts w:cs="Arial"/>
              </w:rPr>
              <w:t xml:space="preserve"> data becomes available to the patient in breach of their DPA/</w:t>
            </w:r>
            <w:r>
              <w:rPr>
                <w:rFonts w:cs="Arial"/>
              </w:rPr>
              <w:t xml:space="preserve">UK </w:t>
            </w:r>
            <w:r w:rsidRPr="00574FBE">
              <w:rPr>
                <w:rFonts w:cs="Arial"/>
              </w:rPr>
              <w:t>GDPR obligations leading to a complaint to the ICO/legal claim from the third party</w:t>
            </w:r>
            <w:r>
              <w:rPr>
                <w:rFonts w:cs="Arial"/>
              </w:rPr>
              <w:t>.]</w:t>
            </w:r>
          </w:p>
          <w:p w14:paraId="608F361E" w14:textId="77777777" w:rsidR="00854692" w:rsidRPr="00574FBE" w:rsidRDefault="00854692" w:rsidP="00F27A90">
            <w:pPr>
              <w:pStyle w:val="NoSpacing"/>
              <w:rPr>
                <w:rFonts w:cs="Arial"/>
              </w:rPr>
            </w:pPr>
          </w:p>
        </w:tc>
        <w:tc>
          <w:tcPr>
            <w:tcW w:w="1064" w:type="pct"/>
          </w:tcPr>
          <w:p w14:paraId="711C0904" w14:textId="77777777" w:rsidR="00854692" w:rsidRDefault="00854692" w:rsidP="00F27A90">
            <w:pPr>
              <w:pStyle w:val="NoSpacing"/>
              <w:rPr>
                <w:rFonts w:cs="Arial"/>
              </w:rPr>
            </w:pPr>
          </w:p>
          <w:p w14:paraId="5B92E2C6" w14:textId="77777777" w:rsidR="00854692" w:rsidRDefault="00854692" w:rsidP="00F27A90">
            <w:pPr>
              <w:pStyle w:val="NoSpacing"/>
              <w:rPr>
                <w:rFonts w:cs="Arial"/>
              </w:rPr>
            </w:pPr>
          </w:p>
          <w:p w14:paraId="2D12BDBE" w14:textId="77777777" w:rsidR="00854692" w:rsidRDefault="00854692" w:rsidP="00F27A90">
            <w:pPr>
              <w:pStyle w:val="NoSpacing"/>
              <w:rPr>
                <w:rFonts w:cs="Arial"/>
              </w:rPr>
            </w:pPr>
          </w:p>
          <w:p w14:paraId="4305E682" w14:textId="77777777" w:rsidR="00854692" w:rsidRDefault="00854692" w:rsidP="00F27A90">
            <w:pPr>
              <w:pStyle w:val="NoSpacing"/>
              <w:rPr>
                <w:rFonts w:cs="Arial"/>
              </w:rPr>
            </w:pPr>
          </w:p>
          <w:p w14:paraId="5468E3D0" w14:textId="77777777" w:rsidR="00854692" w:rsidRDefault="00854692" w:rsidP="00F27A90">
            <w:pPr>
              <w:pStyle w:val="NoSpacing"/>
              <w:rPr>
                <w:rFonts w:cs="Arial"/>
              </w:rPr>
            </w:pPr>
          </w:p>
          <w:p w14:paraId="56F8938E" w14:textId="77777777" w:rsidR="00854692" w:rsidRDefault="00854692" w:rsidP="00F27A90">
            <w:pPr>
              <w:pStyle w:val="NoSpacing"/>
              <w:rPr>
                <w:rFonts w:cs="Arial"/>
              </w:rPr>
            </w:pPr>
          </w:p>
          <w:p w14:paraId="19418521" w14:textId="77777777" w:rsidR="00854692" w:rsidRDefault="00854692" w:rsidP="00F27A90">
            <w:pPr>
              <w:pStyle w:val="NoSpacing"/>
              <w:rPr>
                <w:rFonts w:cs="Arial"/>
              </w:rPr>
            </w:pPr>
          </w:p>
          <w:p w14:paraId="019D14F7" w14:textId="77777777" w:rsidR="00854692" w:rsidRDefault="00854692" w:rsidP="00F27A90">
            <w:pPr>
              <w:pStyle w:val="NoSpacing"/>
              <w:rPr>
                <w:rFonts w:cs="Arial"/>
              </w:rPr>
            </w:pPr>
          </w:p>
          <w:p w14:paraId="0239F045" w14:textId="77777777" w:rsidR="00854692" w:rsidRDefault="00854692" w:rsidP="00F27A90">
            <w:pPr>
              <w:pStyle w:val="NoSpacing"/>
              <w:rPr>
                <w:rFonts w:cs="Arial"/>
              </w:rPr>
            </w:pPr>
          </w:p>
          <w:p w14:paraId="03C344D0" w14:textId="77777777" w:rsidR="00854692" w:rsidRDefault="00854692" w:rsidP="00F27A90">
            <w:pPr>
              <w:pStyle w:val="NoSpacing"/>
              <w:rPr>
                <w:rFonts w:cs="Arial"/>
              </w:rPr>
            </w:pPr>
          </w:p>
          <w:p w14:paraId="753391F2" w14:textId="77777777" w:rsidR="00854692" w:rsidRDefault="00854692" w:rsidP="00F27A90">
            <w:pPr>
              <w:pStyle w:val="NoSpacing"/>
              <w:rPr>
                <w:rFonts w:cs="Arial"/>
              </w:rPr>
            </w:pPr>
            <w:r>
              <w:rPr>
                <w:rFonts w:cs="Arial"/>
              </w:rPr>
              <w:t>Possible or probable</w:t>
            </w:r>
          </w:p>
          <w:p w14:paraId="5672F32F" w14:textId="77777777" w:rsidR="00854692" w:rsidRDefault="00854692" w:rsidP="00F27A90">
            <w:pPr>
              <w:pStyle w:val="NoSpacing"/>
              <w:rPr>
                <w:rFonts w:cs="Arial"/>
              </w:rPr>
            </w:pPr>
          </w:p>
          <w:p w14:paraId="12E84624" w14:textId="77777777" w:rsidR="00854692" w:rsidRDefault="00854692" w:rsidP="00F27A90">
            <w:pPr>
              <w:pStyle w:val="NoSpacing"/>
              <w:rPr>
                <w:rFonts w:cs="Arial"/>
              </w:rPr>
            </w:pPr>
          </w:p>
          <w:p w14:paraId="73D7946A" w14:textId="77777777" w:rsidR="00854692" w:rsidRDefault="00854692" w:rsidP="00F27A90">
            <w:pPr>
              <w:pStyle w:val="NoSpacing"/>
              <w:rPr>
                <w:rFonts w:cs="Arial"/>
              </w:rPr>
            </w:pPr>
          </w:p>
          <w:p w14:paraId="30658F55" w14:textId="77777777" w:rsidR="00854692" w:rsidRDefault="00854692" w:rsidP="00F27A90">
            <w:pPr>
              <w:pStyle w:val="NoSpacing"/>
              <w:rPr>
                <w:rFonts w:cs="Arial"/>
              </w:rPr>
            </w:pPr>
          </w:p>
          <w:p w14:paraId="43388E37" w14:textId="77777777" w:rsidR="00854692" w:rsidRDefault="00854692" w:rsidP="00F27A90">
            <w:pPr>
              <w:pStyle w:val="NoSpacing"/>
              <w:rPr>
                <w:rFonts w:cs="Arial"/>
              </w:rPr>
            </w:pPr>
          </w:p>
          <w:p w14:paraId="6BB4A1C1" w14:textId="77777777" w:rsidR="00854692" w:rsidRDefault="00854692" w:rsidP="00F27A90">
            <w:pPr>
              <w:pStyle w:val="NoSpacing"/>
              <w:rPr>
                <w:rFonts w:cs="Arial"/>
              </w:rPr>
            </w:pPr>
          </w:p>
          <w:p w14:paraId="0BAE57C9" w14:textId="77777777" w:rsidR="00854692" w:rsidRDefault="00854692" w:rsidP="00F27A90">
            <w:pPr>
              <w:pStyle w:val="NoSpacing"/>
              <w:rPr>
                <w:rFonts w:cs="Arial"/>
              </w:rPr>
            </w:pPr>
          </w:p>
          <w:p w14:paraId="3A6A786F" w14:textId="77777777" w:rsidR="00854692" w:rsidRDefault="00854692" w:rsidP="00F27A90">
            <w:pPr>
              <w:pStyle w:val="NoSpacing"/>
              <w:rPr>
                <w:rFonts w:cs="Arial"/>
              </w:rPr>
            </w:pPr>
          </w:p>
          <w:p w14:paraId="219B1FEE" w14:textId="77777777" w:rsidR="00854692" w:rsidRDefault="00854692" w:rsidP="00F27A90">
            <w:pPr>
              <w:pStyle w:val="NoSpacing"/>
              <w:rPr>
                <w:rFonts w:cs="Arial"/>
              </w:rPr>
            </w:pPr>
          </w:p>
          <w:p w14:paraId="5724ACA0" w14:textId="77777777" w:rsidR="00854692" w:rsidRDefault="00854692" w:rsidP="00F27A90">
            <w:pPr>
              <w:pStyle w:val="NoSpacing"/>
              <w:rPr>
                <w:rFonts w:cs="Arial"/>
              </w:rPr>
            </w:pPr>
          </w:p>
          <w:p w14:paraId="34FF54AF" w14:textId="77777777" w:rsidR="00854692" w:rsidRDefault="00854692" w:rsidP="00F27A90">
            <w:pPr>
              <w:pStyle w:val="NoSpacing"/>
              <w:rPr>
                <w:rFonts w:cs="Arial"/>
              </w:rPr>
            </w:pPr>
          </w:p>
          <w:p w14:paraId="4260A041" w14:textId="77777777" w:rsidR="00854692" w:rsidRDefault="00854692" w:rsidP="00F27A90">
            <w:pPr>
              <w:pStyle w:val="NoSpacing"/>
              <w:rPr>
                <w:rFonts w:cs="Arial"/>
              </w:rPr>
            </w:pPr>
          </w:p>
          <w:p w14:paraId="0FF0BFEC" w14:textId="77777777" w:rsidR="00854692" w:rsidRDefault="00854692" w:rsidP="00F27A90">
            <w:pPr>
              <w:pStyle w:val="NoSpacing"/>
              <w:rPr>
                <w:rFonts w:cs="Arial"/>
              </w:rPr>
            </w:pPr>
          </w:p>
          <w:p w14:paraId="21FF8033" w14:textId="77777777" w:rsidR="00854692" w:rsidRDefault="00854692" w:rsidP="00F27A90">
            <w:pPr>
              <w:pStyle w:val="NoSpacing"/>
              <w:rPr>
                <w:rFonts w:cs="Arial"/>
              </w:rPr>
            </w:pPr>
          </w:p>
          <w:p w14:paraId="61E5F898" w14:textId="77777777" w:rsidR="00854692" w:rsidRDefault="00854692" w:rsidP="00F27A90">
            <w:pPr>
              <w:pStyle w:val="NoSpacing"/>
              <w:rPr>
                <w:rFonts w:cs="Arial"/>
              </w:rPr>
            </w:pPr>
          </w:p>
          <w:p w14:paraId="4E7ED7C7" w14:textId="77777777" w:rsidR="00854692" w:rsidRDefault="00854692" w:rsidP="00F27A90">
            <w:pPr>
              <w:pStyle w:val="NoSpacing"/>
              <w:rPr>
                <w:rFonts w:cs="Arial"/>
              </w:rPr>
            </w:pPr>
            <w:r>
              <w:rPr>
                <w:rFonts w:cs="Arial"/>
              </w:rPr>
              <w:t>Possible or probable</w:t>
            </w:r>
          </w:p>
        </w:tc>
        <w:tc>
          <w:tcPr>
            <w:tcW w:w="1059" w:type="pct"/>
          </w:tcPr>
          <w:p w14:paraId="7328D118" w14:textId="77777777" w:rsidR="00854692" w:rsidRDefault="00854692" w:rsidP="00F27A90">
            <w:pPr>
              <w:pStyle w:val="NoSpacing"/>
              <w:rPr>
                <w:rFonts w:cs="Arial"/>
              </w:rPr>
            </w:pPr>
          </w:p>
          <w:p w14:paraId="7FEA83D2" w14:textId="77777777" w:rsidR="00854692" w:rsidRDefault="00854692" w:rsidP="00F27A90">
            <w:pPr>
              <w:pStyle w:val="NoSpacing"/>
              <w:rPr>
                <w:rFonts w:cs="Arial"/>
              </w:rPr>
            </w:pPr>
          </w:p>
          <w:p w14:paraId="62D0041A" w14:textId="77777777" w:rsidR="00854692" w:rsidRDefault="00854692" w:rsidP="00F27A90">
            <w:pPr>
              <w:pStyle w:val="NoSpacing"/>
              <w:rPr>
                <w:rFonts w:cs="Arial"/>
              </w:rPr>
            </w:pPr>
          </w:p>
          <w:p w14:paraId="613A3A2D" w14:textId="77777777" w:rsidR="00854692" w:rsidRDefault="00854692" w:rsidP="00F27A90">
            <w:pPr>
              <w:pStyle w:val="NoSpacing"/>
              <w:rPr>
                <w:rFonts w:cs="Arial"/>
              </w:rPr>
            </w:pPr>
          </w:p>
          <w:p w14:paraId="11D6BD4C" w14:textId="77777777" w:rsidR="00854692" w:rsidRDefault="00854692" w:rsidP="00F27A90">
            <w:pPr>
              <w:pStyle w:val="NoSpacing"/>
              <w:rPr>
                <w:rFonts w:cs="Arial"/>
              </w:rPr>
            </w:pPr>
          </w:p>
          <w:p w14:paraId="7628C421" w14:textId="77777777" w:rsidR="00854692" w:rsidRDefault="00854692" w:rsidP="00F27A90">
            <w:pPr>
              <w:pStyle w:val="NoSpacing"/>
              <w:rPr>
                <w:rFonts w:cs="Arial"/>
              </w:rPr>
            </w:pPr>
          </w:p>
          <w:p w14:paraId="14F916AF" w14:textId="77777777" w:rsidR="00854692" w:rsidRDefault="00854692" w:rsidP="00F27A90">
            <w:pPr>
              <w:pStyle w:val="NoSpacing"/>
              <w:rPr>
                <w:rFonts w:cs="Arial"/>
              </w:rPr>
            </w:pPr>
          </w:p>
          <w:p w14:paraId="32E7F23F" w14:textId="77777777" w:rsidR="00854692" w:rsidRDefault="00854692" w:rsidP="00F27A90">
            <w:pPr>
              <w:pStyle w:val="NoSpacing"/>
              <w:rPr>
                <w:rFonts w:cs="Arial"/>
              </w:rPr>
            </w:pPr>
          </w:p>
          <w:p w14:paraId="074516FC" w14:textId="77777777" w:rsidR="00854692" w:rsidRDefault="00854692" w:rsidP="00F27A90">
            <w:pPr>
              <w:pStyle w:val="NoSpacing"/>
              <w:rPr>
                <w:rFonts w:cs="Arial"/>
              </w:rPr>
            </w:pPr>
          </w:p>
          <w:p w14:paraId="008F6897" w14:textId="77777777" w:rsidR="00854692" w:rsidRDefault="00854692" w:rsidP="00F27A90">
            <w:pPr>
              <w:pStyle w:val="NoSpacing"/>
              <w:rPr>
                <w:rFonts w:cs="Arial"/>
              </w:rPr>
            </w:pPr>
          </w:p>
          <w:p w14:paraId="18AC0E53" w14:textId="77777777" w:rsidR="00854692" w:rsidRDefault="00854692" w:rsidP="00F27A90">
            <w:pPr>
              <w:pStyle w:val="NoSpacing"/>
              <w:rPr>
                <w:rFonts w:cs="Arial"/>
              </w:rPr>
            </w:pPr>
            <w:r>
              <w:rPr>
                <w:rFonts w:cs="Arial"/>
              </w:rPr>
              <w:t>Significant or severe</w:t>
            </w:r>
          </w:p>
          <w:p w14:paraId="1BAE32BD" w14:textId="77777777" w:rsidR="00854692" w:rsidRDefault="00854692" w:rsidP="00F27A90">
            <w:pPr>
              <w:pStyle w:val="NoSpacing"/>
              <w:rPr>
                <w:rFonts w:cs="Arial"/>
              </w:rPr>
            </w:pPr>
          </w:p>
          <w:p w14:paraId="04DD3E90" w14:textId="77777777" w:rsidR="00854692" w:rsidRDefault="00854692" w:rsidP="00F27A90">
            <w:pPr>
              <w:pStyle w:val="NoSpacing"/>
              <w:rPr>
                <w:rFonts w:cs="Arial"/>
              </w:rPr>
            </w:pPr>
          </w:p>
          <w:p w14:paraId="36B5D77E" w14:textId="77777777" w:rsidR="00854692" w:rsidRDefault="00854692" w:rsidP="00F27A90">
            <w:pPr>
              <w:pStyle w:val="NoSpacing"/>
              <w:rPr>
                <w:rFonts w:cs="Arial"/>
              </w:rPr>
            </w:pPr>
          </w:p>
          <w:p w14:paraId="7918CF4E" w14:textId="77777777" w:rsidR="00854692" w:rsidRDefault="00854692" w:rsidP="00F27A90">
            <w:pPr>
              <w:pStyle w:val="NoSpacing"/>
              <w:rPr>
                <w:rFonts w:cs="Arial"/>
              </w:rPr>
            </w:pPr>
          </w:p>
          <w:p w14:paraId="47D5D347" w14:textId="77777777" w:rsidR="00854692" w:rsidRDefault="00854692" w:rsidP="00F27A90">
            <w:pPr>
              <w:pStyle w:val="NoSpacing"/>
              <w:rPr>
                <w:rFonts w:cs="Arial"/>
              </w:rPr>
            </w:pPr>
          </w:p>
          <w:p w14:paraId="71173304" w14:textId="77777777" w:rsidR="00854692" w:rsidRDefault="00854692" w:rsidP="00F27A90">
            <w:pPr>
              <w:pStyle w:val="NoSpacing"/>
              <w:rPr>
                <w:rFonts w:cs="Arial"/>
              </w:rPr>
            </w:pPr>
          </w:p>
          <w:p w14:paraId="220D13B2" w14:textId="77777777" w:rsidR="00854692" w:rsidRDefault="00854692" w:rsidP="00F27A90">
            <w:pPr>
              <w:pStyle w:val="NoSpacing"/>
              <w:rPr>
                <w:rFonts w:cs="Arial"/>
              </w:rPr>
            </w:pPr>
          </w:p>
          <w:p w14:paraId="6AB95539" w14:textId="77777777" w:rsidR="00854692" w:rsidRDefault="00854692" w:rsidP="00F27A90">
            <w:pPr>
              <w:pStyle w:val="NoSpacing"/>
              <w:rPr>
                <w:rFonts w:cs="Arial"/>
              </w:rPr>
            </w:pPr>
          </w:p>
          <w:p w14:paraId="6307696F" w14:textId="77777777" w:rsidR="00854692" w:rsidRDefault="00854692" w:rsidP="00F27A90">
            <w:pPr>
              <w:pStyle w:val="NoSpacing"/>
              <w:rPr>
                <w:rFonts w:cs="Arial"/>
              </w:rPr>
            </w:pPr>
          </w:p>
          <w:p w14:paraId="2E64BF96" w14:textId="77777777" w:rsidR="00854692" w:rsidRDefault="00854692" w:rsidP="00F27A90">
            <w:pPr>
              <w:pStyle w:val="NoSpacing"/>
              <w:rPr>
                <w:rFonts w:cs="Arial"/>
              </w:rPr>
            </w:pPr>
          </w:p>
          <w:p w14:paraId="6A16A56C" w14:textId="77777777" w:rsidR="00854692" w:rsidRDefault="00854692" w:rsidP="00F27A90">
            <w:pPr>
              <w:pStyle w:val="NoSpacing"/>
              <w:rPr>
                <w:rFonts w:cs="Arial"/>
              </w:rPr>
            </w:pPr>
          </w:p>
          <w:p w14:paraId="01D50877" w14:textId="77777777" w:rsidR="00854692" w:rsidRDefault="00854692" w:rsidP="00F27A90">
            <w:pPr>
              <w:pStyle w:val="NoSpacing"/>
              <w:rPr>
                <w:rFonts w:cs="Arial"/>
              </w:rPr>
            </w:pPr>
          </w:p>
          <w:p w14:paraId="64B263BE" w14:textId="77777777" w:rsidR="00854692" w:rsidRDefault="00854692" w:rsidP="00F27A90">
            <w:pPr>
              <w:pStyle w:val="NoSpacing"/>
              <w:rPr>
                <w:rFonts w:cs="Arial"/>
              </w:rPr>
            </w:pPr>
          </w:p>
          <w:p w14:paraId="2AA957CE" w14:textId="77777777" w:rsidR="00854692" w:rsidRDefault="00854692" w:rsidP="00F27A90">
            <w:pPr>
              <w:pStyle w:val="NoSpacing"/>
              <w:rPr>
                <w:rFonts w:cs="Arial"/>
              </w:rPr>
            </w:pPr>
          </w:p>
          <w:p w14:paraId="3D9A33E8" w14:textId="77777777" w:rsidR="00854692" w:rsidRDefault="00854692" w:rsidP="00F27A90">
            <w:pPr>
              <w:pStyle w:val="NoSpacing"/>
              <w:rPr>
                <w:rFonts w:cs="Arial"/>
              </w:rPr>
            </w:pPr>
          </w:p>
          <w:p w14:paraId="5FC61C5A" w14:textId="77777777" w:rsidR="00854692" w:rsidRDefault="00854692" w:rsidP="00F27A90">
            <w:pPr>
              <w:pStyle w:val="NoSpacing"/>
              <w:rPr>
                <w:rFonts w:cs="Arial"/>
              </w:rPr>
            </w:pPr>
            <w:r>
              <w:rPr>
                <w:rFonts w:cs="Arial"/>
              </w:rPr>
              <w:t>Significant or severe</w:t>
            </w:r>
          </w:p>
        </w:tc>
        <w:tc>
          <w:tcPr>
            <w:tcW w:w="761" w:type="pct"/>
          </w:tcPr>
          <w:p w14:paraId="4E3A9710" w14:textId="77777777" w:rsidR="00854692" w:rsidRDefault="00854692" w:rsidP="00F27A90">
            <w:pPr>
              <w:pStyle w:val="NoSpacing"/>
              <w:rPr>
                <w:rFonts w:cs="Arial"/>
              </w:rPr>
            </w:pPr>
          </w:p>
          <w:p w14:paraId="38C23002" w14:textId="77777777" w:rsidR="00854692" w:rsidRDefault="00854692" w:rsidP="00F27A90">
            <w:pPr>
              <w:pStyle w:val="NoSpacing"/>
              <w:rPr>
                <w:rFonts w:cs="Arial"/>
              </w:rPr>
            </w:pPr>
          </w:p>
          <w:p w14:paraId="0CB8857C" w14:textId="77777777" w:rsidR="00854692" w:rsidRDefault="00854692" w:rsidP="00F27A90">
            <w:pPr>
              <w:pStyle w:val="NoSpacing"/>
              <w:rPr>
                <w:rFonts w:cs="Arial"/>
              </w:rPr>
            </w:pPr>
          </w:p>
          <w:p w14:paraId="1DE5A7D6" w14:textId="77777777" w:rsidR="00854692" w:rsidRDefault="00854692" w:rsidP="00F27A90">
            <w:pPr>
              <w:pStyle w:val="NoSpacing"/>
              <w:rPr>
                <w:rFonts w:cs="Arial"/>
              </w:rPr>
            </w:pPr>
          </w:p>
          <w:p w14:paraId="0E6482A7" w14:textId="77777777" w:rsidR="00854692" w:rsidRDefault="00854692" w:rsidP="00F27A90">
            <w:pPr>
              <w:pStyle w:val="NoSpacing"/>
              <w:rPr>
                <w:rFonts w:cs="Arial"/>
              </w:rPr>
            </w:pPr>
          </w:p>
          <w:p w14:paraId="40F50634" w14:textId="77777777" w:rsidR="00854692" w:rsidRDefault="00854692" w:rsidP="00F27A90">
            <w:pPr>
              <w:pStyle w:val="NoSpacing"/>
              <w:rPr>
                <w:rFonts w:cs="Arial"/>
              </w:rPr>
            </w:pPr>
          </w:p>
          <w:p w14:paraId="12FBC1F3" w14:textId="77777777" w:rsidR="00854692" w:rsidRDefault="00854692" w:rsidP="00F27A90">
            <w:pPr>
              <w:pStyle w:val="NoSpacing"/>
              <w:rPr>
                <w:rFonts w:cs="Arial"/>
              </w:rPr>
            </w:pPr>
          </w:p>
          <w:p w14:paraId="5F4C3E93" w14:textId="77777777" w:rsidR="00854692" w:rsidRDefault="00854692" w:rsidP="00F27A90">
            <w:pPr>
              <w:pStyle w:val="NoSpacing"/>
              <w:rPr>
                <w:rFonts w:cs="Arial"/>
              </w:rPr>
            </w:pPr>
          </w:p>
          <w:p w14:paraId="0B096931" w14:textId="77777777" w:rsidR="00854692" w:rsidRDefault="00854692" w:rsidP="00F27A90">
            <w:pPr>
              <w:pStyle w:val="NoSpacing"/>
              <w:rPr>
                <w:rFonts w:cs="Arial"/>
              </w:rPr>
            </w:pPr>
          </w:p>
          <w:p w14:paraId="031543D6" w14:textId="77777777" w:rsidR="00854692" w:rsidRDefault="00854692" w:rsidP="00F27A90">
            <w:pPr>
              <w:pStyle w:val="NoSpacing"/>
              <w:rPr>
                <w:rFonts w:cs="Arial"/>
              </w:rPr>
            </w:pPr>
          </w:p>
          <w:p w14:paraId="61D823B6" w14:textId="77777777" w:rsidR="00854692" w:rsidRDefault="00854692" w:rsidP="00F27A90">
            <w:pPr>
              <w:pStyle w:val="NoSpacing"/>
              <w:rPr>
                <w:rFonts w:cs="Arial"/>
              </w:rPr>
            </w:pPr>
            <w:r>
              <w:rPr>
                <w:rFonts w:cs="Arial"/>
              </w:rPr>
              <w:t>Medium to high</w:t>
            </w:r>
          </w:p>
          <w:p w14:paraId="3BDED516" w14:textId="77777777" w:rsidR="00854692" w:rsidRDefault="00854692" w:rsidP="00F27A90">
            <w:pPr>
              <w:pStyle w:val="NoSpacing"/>
              <w:rPr>
                <w:rFonts w:cs="Arial"/>
              </w:rPr>
            </w:pPr>
          </w:p>
          <w:p w14:paraId="6EA180E9" w14:textId="77777777" w:rsidR="00854692" w:rsidRDefault="00854692" w:rsidP="00F27A90">
            <w:pPr>
              <w:pStyle w:val="NoSpacing"/>
              <w:rPr>
                <w:rFonts w:cs="Arial"/>
              </w:rPr>
            </w:pPr>
          </w:p>
          <w:p w14:paraId="44DB5544" w14:textId="77777777" w:rsidR="00854692" w:rsidRDefault="00854692" w:rsidP="00F27A90">
            <w:pPr>
              <w:pStyle w:val="NoSpacing"/>
              <w:rPr>
                <w:rFonts w:cs="Arial"/>
              </w:rPr>
            </w:pPr>
          </w:p>
          <w:p w14:paraId="2D62FDD3" w14:textId="77777777" w:rsidR="00854692" w:rsidRDefault="00854692" w:rsidP="00F27A90">
            <w:pPr>
              <w:pStyle w:val="NoSpacing"/>
              <w:rPr>
                <w:rFonts w:cs="Arial"/>
              </w:rPr>
            </w:pPr>
          </w:p>
          <w:p w14:paraId="49B0659D" w14:textId="77777777" w:rsidR="00854692" w:rsidRDefault="00854692" w:rsidP="00F27A90">
            <w:pPr>
              <w:pStyle w:val="NoSpacing"/>
              <w:rPr>
                <w:rFonts w:cs="Arial"/>
              </w:rPr>
            </w:pPr>
          </w:p>
          <w:p w14:paraId="0F370956" w14:textId="77777777" w:rsidR="00854692" w:rsidRDefault="00854692" w:rsidP="00F27A90">
            <w:pPr>
              <w:pStyle w:val="NoSpacing"/>
              <w:rPr>
                <w:rFonts w:cs="Arial"/>
              </w:rPr>
            </w:pPr>
          </w:p>
          <w:p w14:paraId="4D6DDECA" w14:textId="77777777" w:rsidR="00854692" w:rsidRDefault="00854692" w:rsidP="00F27A90">
            <w:pPr>
              <w:pStyle w:val="NoSpacing"/>
              <w:rPr>
                <w:rFonts w:cs="Arial"/>
              </w:rPr>
            </w:pPr>
          </w:p>
          <w:p w14:paraId="0B08CE37" w14:textId="77777777" w:rsidR="00854692" w:rsidRDefault="00854692" w:rsidP="00F27A90">
            <w:pPr>
              <w:pStyle w:val="NoSpacing"/>
              <w:rPr>
                <w:rFonts w:cs="Arial"/>
              </w:rPr>
            </w:pPr>
          </w:p>
          <w:p w14:paraId="6BDBDDDB" w14:textId="77777777" w:rsidR="00854692" w:rsidRDefault="00854692" w:rsidP="00F27A90">
            <w:pPr>
              <w:pStyle w:val="NoSpacing"/>
              <w:rPr>
                <w:rFonts w:cs="Arial"/>
              </w:rPr>
            </w:pPr>
          </w:p>
          <w:p w14:paraId="6CDB1E81" w14:textId="77777777" w:rsidR="00854692" w:rsidRDefault="00854692" w:rsidP="00F27A90">
            <w:pPr>
              <w:pStyle w:val="NoSpacing"/>
              <w:rPr>
                <w:rFonts w:cs="Arial"/>
              </w:rPr>
            </w:pPr>
          </w:p>
          <w:p w14:paraId="2D2E361F" w14:textId="77777777" w:rsidR="00854692" w:rsidRDefault="00854692" w:rsidP="00F27A90">
            <w:pPr>
              <w:pStyle w:val="NoSpacing"/>
              <w:rPr>
                <w:rFonts w:cs="Arial"/>
              </w:rPr>
            </w:pPr>
          </w:p>
          <w:p w14:paraId="60DF1575" w14:textId="77777777" w:rsidR="00854692" w:rsidRDefault="00854692" w:rsidP="00F27A90">
            <w:pPr>
              <w:pStyle w:val="NoSpacing"/>
              <w:rPr>
                <w:rFonts w:cs="Arial"/>
              </w:rPr>
            </w:pPr>
          </w:p>
          <w:p w14:paraId="69470D4E" w14:textId="77777777" w:rsidR="00854692" w:rsidRDefault="00854692" w:rsidP="00F27A90">
            <w:pPr>
              <w:pStyle w:val="NoSpacing"/>
              <w:rPr>
                <w:rFonts w:cs="Arial"/>
              </w:rPr>
            </w:pPr>
          </w:p>
          <w:p w14:paraId="65D66770" w14:textId="77777777" w:rsidR="00854692" w:rsidRDefault="00854692" w:rsidP="00F27A90">
            <w:pPr>
              <w:pStyle w:val="NoSpacing"/>
              <w:rPr>
                <w:rFonts w:cs="Arial"/>
              </w:rPr>
            </w:pPr>
          </w:p>
          <w:p w14:paraId="6D4B286C" w14:textId="77777777" w:rsidR="00854692" w:rsidRDefault="00854692" w:rsidP="00F27A90">
            <w:pPr>
              <w:pStyle w:val="NoSpacing"/>
              <w:rPr>
                <w:rFonts w:cs="Arial"/>
              </w:rPr>
            </w:pPr>
          </w:p>
          <w:p w14:paraId="775AB749" w14:textId="77777777" w:rsidR="00854692" w:rsidRDefault="00854692" w:rsidP="00F27A90">
            <w:pPr>
              <w:pStyle w:val="NoSpacing"/>
              <w:rPr>
                <w:rFonts w:cs="Arial"/>
              </w:rPr>
            </w:pPr>
            <w:r>
              <w:rPr>
                <w:rFonts w:cs="Arial"/>
              </w:rPr>
              <w:t>Medium to high</w:t>
            </w:r>
          </w:p>
        </w:tc>
      </w:tr>
    </w:tbl>
    <w:p w14:paraId="27F715E2" w14:textId="77777777" w:rsidR="00854692" w:rsidRDefault="00854692"/>
    <w:p w14:paraId="13F2821B" w14:textId="29112ADC" w:rsidR="00854692" w:rsidRDefault="00854692">
      <w:r>
        <w:t xml:space="preserve">The BMA has done its own assessment of the above and here are their answers </w:t>
      </w:r>
      <w:r w:rsidR="002F1F4A">
        <w:t xml:space="preserve">(so you can see what we </w:t>
      </w:r>
      <w:proofErr w:type="gramStart"/>
      <w:r w:rsidR="002F1F4A">
        <w:t>have to</w:t>
      </w:r>
      <w:proofErr w:type="gramEnd"/>
      <w:r w:rsidR="002F1F4A">
        <w:t xml:space="preserve"> do).</w:t>
      </w:r>
      <w:r>
        <w:br w:type="page"/>
      </w:r>
    </w:p>
    <w:tbl>
      <w:tblPr>
        <w:tblStyle w:val="TableGrid"/>
        <w:tblW w:w="0" w:type="auto"/>
        <w:tblLook w:val="04A0" w:firstRow="1" w:lastRow="0" w:firstColumn="1" w:lastColumn="0" w:noHBand="0" w:noVBand="1"/>
      </w:tblPr>
      <w:tblGrid>
        <w:gridCol w:w="522"/>
        <w:gridCol w:w="2483"/>
        <w:gridCol w:w="4257"/>
        <w:gridCol w:w="3200"/>
        <w:gridCol w:w="2279"/>
        <w:gridCol w:w="1207"/>
      </w:tblGrid>
      <w:tr w:rsidR="00854692" w:rsidRPr="00B90835" w14:paraId="10C1E2B2" w14:textId="77777777" w:rsidTr="00F27A90">
        <w:tc>
          <w:tcPr>
            <w:tcW w:w="279" w:type="dxa"/>
          </w:tcPr>
          <w:p w14:paraId="6F3D1F8B" w14:textId="77777777" w:rsidR="00854692" w:rsidRDefault="00854692" w:rsidP="00F27A90">
            <w:pPr>
              <w:spacing w:after="200"/>
              <w:rPr>
                <w:rFonts w:cs="Arial"/>
                <w:b/>
                <w:bCs/>
              </w:rPr>
            </w:pPr>
          </w:p>
        </w:tc>
        <w:tc>
          <w:tcPr>
            <w:tcW w:w="13669" w:type="dxa"/>
            <w:gridSpan w:val="5"/>
          </w:tcPr>
          <w:p w14:paraId="16F00378" w14:textId="77777777" w:rsidR="00854692" w:rsidRPr="00B90835" w:rsidRDefault="00854692" w:rsidP="00F27A90">
            <w:pPr>
              <w:spacing w:after="200"/>
              <w:rPr>
                <w:rFonts w:cs="Arial"/>
                <w:b/>
                <w:bCs/>
              </w:rPr>
            </w:pPr>
            <w:r>
              <w:rPr>
                <w:rFonts w:cs="Arial"/>
                <w:b/>
                <w:bCs/>
              </w:rPr>
              <w:t>Identify additional measures you could take to reduce or eliminate risks identified as medium or high risk in step 5</w:t>
            </w:r>
          </w:p>
        </w:tc>
      </w:tr>
      <w:tr w:rsidR="00854692" w:rsidRPr="00B90835" w14:paraId="2ADCC994" w14:textId="77777777" w:rsidTr="00F27A90">
        <w:trPr>
          <w:trHeight w:val="804"/>
        </w:trPr>
        <w:tc>
          <w:tcPr>
            <w:tcW w:w="279" w:type="dxa"/>
          </w:tcPr>
          <w:p w14:paraId="792280CE" w14:textId="77777777" w:rsidR="00854692" w:rsidRDefault="00854692" w:rsidP="00F27A90">
            <w:pPr>
              <w:pStyle w:val="NoSpacing"/>
              <w:rPr>
                <w:b/>
                <w:bCs/>
              </w:rPr>
            </w:pPr>
          </w:p>
        </w:tc>
        <w:tc>
          <w:tcPr>
            <w:tcW w:w="2594" w:type="dxa"/>
          </w:tcPr>
          <w:p w14:paraId="3BB45D3E" w14:textId="77777777" w:rsidR="00854692" w:rsidRPr="00B90835" w:rsidRDefault="00854692" w:rsidP="00F27A90">
            <w:pPr>
              <w:pStyle w:val="NoSpacing"/>
              <w:rPr>
                <w:b/>
                <w:bCs/>
              </w:rPr>
            </w:pPr>
            <w:r>
              <w:rPr>
                <w:b/>
                <w:bCs/>
              </w:rPr>
              <w:t>Risk</w:t>
            </w:r>
          </w:p>
        </w:tc>
        <w:tc>
          <w:tcPr>
            <w:tcW w:w="4368" w:type="dxa"/>
          </w:tcPr>
          <w:p w14:paraId="1169D77D" w14:textId="77777777" w:rsidR="00854692" w:rsidRPr="00B90835" w:rsidRDefault="00854692" w:rsidP="00F27A90">
            <w:pPr>
              <w:pStyle w:val="NoSpacing"/>
              <w:rPr>
                <w:b/>
                <w:bCs/>
              </w:rPr>
            </w:pPr>
            <w:r>
              <w:rPr>
                <w:b/>
                <w:bCs/>
              </w:rPr>
              <w:t>Options to reduce or eliminate risk</w:t>
            </w:r>
          </w:p>
        </w:tc>
        <w:tc>
          <w:tcPr>
            <w:tcW w:w="3200" w:type="dxa"/>
          </w:tcPr>
          <w:p w14:paraId="247C8039" w14:textId="77777777" w:rsidR="00854692" w:rsidRDefault="00854692" w:rsidP="00F27A90">
            <w:pPr>
              <w:pStyle w:val="NoSpacing"/>
              <w:rPr>
                <w:b/>
                <w:bCs/>
              </w:rPr>
            </w:pPr>
            <w:r>
              <w:rPr>
                <w:b/>
                <w:bCs/>
              </w:rPr>
              <w:t>Effect on risk</w:t>
            </w:r>
          </w:p>
          <w:p w14:paraId="574FCBD2" w14:textId="77777777" w:rsidR="00854692" w:rsidRDefault="00854692" w:rsidP="00F27A90">
            <w:pPr>
              <w:pStyle w:val="NoSpacing"/>
              <w:rPr>
                <w:b/>
                <w:bCs/>
              </w:rPr>
            </w:pPr>
          </w:p>
          <w:p w14:paraId="2B4B0B36" w14:textId="77777777" w:rsidR="00854692" w:rsidRPr="00B90835" w:rsidRDefault="00854692" w:rsidP="00F27A90">
            <w:pPr>
              <w:pStyle w:val="NoSpacing"/>
            </w:pPr>
            <w:r>
              <w:t>(Eliminated/reduced/accepted)</w:t>
            </w:r>
          </w:p>
        </w:tc>
        <w:tc>
          <w:tcPr>
            <w:tcW w:w="2300" w:type="dxa"/>
          </w:tcPr>
          <w:p w14:paraId="78F9DAE0" w14:textId="77777777" w:rsidR="00854692" w:rsidRDefault="00854692" w:rsidP="00F27A90">
            <w:pPr>
              <w:pStyle w:val="NoSpacing"/>
            </w:pPr>
            <w:r>
              <w:rPr>
                <w:b/>
                <w:bCs/>
              </w:rPr>
              <w:t>Residual risk</w:t>
            </w:r>
          </w:p>
          <w:p w14:paraId="244EAF6C" w14:textId="77777777" w:rsidR="00854692" w:rsidRDefault="00854692" w:rsidP="00F27A90">
            <w:pPr>
              <w:pStyle w:val="NoSpacing"/>
            </w:pPr>
          </w:p>
          <w:p w14:paraId="79AC995F" w14:textId="77777777" w:rsidR="00854692" w:rsidRPr="00B90835" w:rsidRDefault="00854692" w:rsidP="00F27A90">
            <w:pPr>
              <w:pStyle w:val="NoSpacing"/>
            </w:pPr>
            <w:r>
              <w:t>(Low/medium/high)</w:t>
            </w:r>
          </w:p>
        </w:tc>
        <w:tc>
          <w:tcPr>
            <w:tcW w:w="1207" w:type="dxa"/>
          </w:tcPr>
          <w:p w14:paraId="6D84DB3A" w14:textId="77777777" w:rsidR="00854692" w:rsidRDefault="00854692" w:rsidP="00F27A90">
            <w:pPr>
              <w:pStyle w:val="NoSpacing"/>
            </w:pPr>
            <w:r>
              <w:rPr>
                <w:b/>
                <w:bCs/>
              </w:rPr>
              <w:t xml:space="preserve">Measure </w:t>
            </w:r>
            <w:proofErr w:type="gramStart"/>
            <w:r>
              <w:rPr>
                <w:b/>
                <w:bCs/>
              </w:rPr>
              <w:t>approved</w:t>
            </w:r>
            <w:proofErr w:type="gramEnd"/>
          </w:p>
          <w:p w14:paraId="1CDB3AE1" w14:textId="77777777" w:rsidR="00854692" w:rsidRDefault="00854692" w:rsidP="00F27A90">
            <w:pPr>
              <w:pStyle w:val="NoSpacing"/>
            </w:pPr>
          </w:p>
          <w:p w14:paraId="216E987D" w14:textId="77777777" w:rsidR="00854692" w:rsidRPr="00B90835" w:rsidRDefault="00854692" w:rsidP="00F27A90">
            <w:pPr>
              <w:pStyle w:val="NoSpacing"/>
            </w:pPr>
            <w:r>
              <w:t>(Yes/no)</w:t>
            </w:r>
          </w:p>
        </w:tc>
      </w:tr>
      <w:tr w:rsidR="00854692" w14:paraId="5DC6B9D5" w14:textId="77777777" w:rsidTr="00F27A90">
        <w:tc>
          <w:tcPr>
            <w:tcW w:w="279" w:type="dxa"/>
          </w:tcPr>
          <w:p w14:paraId="732E0842" w14:textId="77777777" w:rsidR="00854692" w:rsidRPr="00E404B0" w:rsidRDefault="00854692" w:rsidP="00F27A90">
            <w:pPr>
              <w:pStyle w:val="NoSpacing"/>
            </w:pPr>
            <w:r w:rsidRPr="00E404B0">
              <w:t>1.</w:t>
            </w:r>
          </w:p>
        </w:tc>
        <w:tc>
          <w:tcPr>
            <w:tcW w:w="2594" w:type="dxa"/>
          </w:tcPr>
          <w:p w14:paraId="47FFAF7B" w14:textId="77777777" w:rsidR="00854692" w:rsidRPr="00E404B0" w:rsidRDefault="00854692" w:rsidP="00F27A90">
            <w:pPr>
              <w:pStyle w:val="NoSpacing"/>
            </w:pPr>
            <w:r w:rsidRPr="00E404B0">
              <w:t>Risk of misfiling and inaccuracies within patient record</w:t>
            </w:r>
          </w:p>
          <w:p w14:paraId="36FBE3EA" w14:textId="77777777" w:rsidR="00854692" w:rsidRDefault="00854692" w:rsidP="00F27A90">
            <w:pPr>
              <w:pStyle w:val="NoSpacing"/>
            </w:pPr>
          </w:p>
        </w:tc>
        <w:tc>
          <w:tcPr>
            <w:tcW w:w="4368" w:type="dxa"/>
          </w:tcPr>
          <w:p w14:paraId="786366DD" w14:textId="77777777" w:rsidR="00854692" w:rsidRDefault="00854692" w:rsidP="00F27A9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w:t>
            </w:r>
            <w:proofErr w:type="gramStart"/>
            <w:r w:rsidRPr="00E404B0">
              <w:t>two stage</w:t>
            </w:r>
            <w:proofErr w:type="gramEnd"/>
            <w:r w:rsidRPr="00E404B0">
              <w:t xml:space="preserve"> process, by which work is checked, improving quality control. It is recognised that not all correspondence uses the patient’s NHS number particularly that which emanates from secondary care providers. This reduces the effectiveness of the mitigation measure and additional resources will be required to ensure accuracy</w:t>
            </w:r>
            <w:r>
              <w:t>.</w:t>
            </w:r>
          </w:p>
          <w:p w14:paraId="186E2AD7" w14:textId="77777777" w:rsidR="00854692" w:rsidRDefault="00854692" w:rsidP="00F27A90">
            <w:pPr>
              <w:pStyle w:val="NoSpacing"/>
            </w:pPr>
          </w:p>
        </w:tc>
        <w:tc>
          <w:tcPr>
            <w:tcW w:w="3200" w:type="dxa"/>
          </w:tcPr>
          <w:p w14:paraId="556E4C00" w14:textId="77777777" w:rsidR="00854692" w:rsidRDefault="00854692" w:rsidP="00F27A90">
            <w:pPr>
              <w:pStyle w:val="NoSpacing"/>
            </w:pPr>
            <w:r>
              <w:t>Reduced</w:t>
            </w:r>
          </w:p>
        </w:tc>
        <w:tc>
          <w:tcPr>
            <w:tcW w:w="2300" w:type="dxa"/>
          </w:tcPr>
          <w:p w14:paraId="03668A4C" w14:textId="77777777" w:rsidR="00854692" w:rsidRDefault="00854692" w:rsidP="00F27A90">
            <w:pPr>
              <w:pStyle w:val="NoSpacing"/>
            </w:pPr>
            <w:r>
              <w:t>Medium – even with stringent processes the risk of human error and the significant number of interactions with patient data is such that mistakes are bound to occur.</w:t>
            </w:r>
          </w:p>
        </w:tc>
        <w:tc>
          <w:tcPr>
            <w:tcW w:w="1207" w:type="dxa"/>
          </w:tcPr>
          <w:p w14:paraId="0FD4477A" w14:textId="77777777" w:rsidR="00854692" w:rsidRDefault="00854692" w:rsidP="00F27A90">
            <w:pPr>
              <w:pStyle w:val="NoSpacing"/>
            </w:pPr>
            <w:r>
              <w:t>Yes</w:t>
            </w:r>
          </w:p>
        </w:tc>
      </w:tr>
      <w:tr w:rsidR="00854692" w14:paraId="4EADC7CD" w14:textId="77777777" w:rsidTr="00F27A90">
        <w:tc>
          <w:tcPr>
            <w:tcW w:w="279" w:type="dxa"/>
          </w:tcPr>
          <w:p w14:paraId="2BD40828" w14:textId="77777777" w:rsidR="00854692" w:rsidRDefault="00854692" w:rsidP="00F27A90">
            <w:pPr>
              <w:pStyle w:val="NoSpacing"/>
            </w:pPr>
            <w:r>
              <w:t xml:space="preserve">2. </w:t>
            </w:r>
          </w:p>
        </w:tc>
        <w:tc>
          <w:tcPr>
            <w:tcW w:w="2594" w:type="dxa"/>
          </w:tcPr>
          <w:p w14:paraId="0049AFF7" w14:textId="77777777" w:rsidR="00854692" w:rsidRPr="00E404B0" w:rsidRDefault="00854692" w:rsidP="00F27A90">
            <w:pPr>
              <w:pStyle w:val="NoSpacing"/>
              <w:rPr>
                <w:rFonts w:cs="Arial"/>
              </w:rPr>
            </w:pPr>
            <w:r w:rsidRPr="00E404B0">
              <w:rPr>
                <w:rFonts w:cs="Arial"/>
              </w:rPr>
              <w:t>Risks to children and vulnerable patients</w:t>
            </w:r>
          </w:p>
          <w:p w14:paraId="25F04A82" w14:textId="77777777" w:rsidR="00854692" w:rsidRDefault="00854692" w:rsidP="00F27A90">
            <w:pPr>
              <w:pStyle w:val="NoSpacing"/>
            </w:pPr>
          </w:p>
        </w:tc>
        <w:tc>
          <w:tcPr>
            <w:tcW w:w="4368" w:type="dxa"/>
          </w:tcPr>
          <w:p w14:paraId="0E67246A" w14:textId="77777777" w:rsidR="00854692" w:rsidRDefault="00854692" w:rsidP="00F27A90">
            <w:pPr>
              <w:pStyle w:val="NoSpacing"/>
              <w:tabs>
                <w:tab w:val="left" w:pos="971"/>
              </w:tabs>
            </w:pPr>
            <w:r>
              <w:t xml:space="preserve">1. Children - </w:t>
            </w:r>
          </w:p>
          <w:p w14:paraId="25ECA770" w14:textId="77777777" w:rsidR="00854692" w:rsidRDefault="00854692" w:rsidP="00854692">
            <w:pPr>
              <w:pStyle w:val="NoSpacing"/>
              <w:numPr>
                <w:ilvl w:val="0"/>
                <w:numId w:val="4"/>
              </w:numPr>
              <w:tabs>
                <w:tab w:val="left" w:pos="971"/>
              </w:tabs>
            </w:pPr>
            <w:r>
              <w:t>Only allow the child to have access in circumstances where it’s thought clinically responsible to do so.</w:t>
            </w:r>
          </w:p>
          <w:p w14:paraId="02E03E9F" w14:textId="77777777" w:rsidR="00854692" w:rsidRDefault="00854692" w:rsidP="00F27A90">
            <w:pPr>
              <w:pStyle w:val="NoSpacing"/>
              <w:tabs>
                <w:tab w:val="left" w:pos="971"/>
              </w:tabs>
              <w:ind w:left="720"/>
            </w:pPr>
          </w:p>
          <w:p w14:paraId="6FCEFF73" w14:textId="77777777" w:rsidR="00854692" w:rsidRDefault="00854692" w:rsidP="00854692">
            <w:pPr>
              <w:pStyle w:val="NoSpacing"/>
              <w:numPr>
                <w:ilvl w:val="0"/>
                <w:numId w:val="4"/>
              </w:numPr>
              <w:tabs>
                <w:tab w:val="left" w:pos="971"/>
              </w:tabs>
            </w:pPr>
            <w:r w:rsidRPr="009C119C">
              <w:t xml:space="preserve">To remove parents’ or legal guardians’ access in circumstances where the GP feels it’s appropriate or to make certain entries on the medical </w:t>
            </w:r>
            <w:r w:rsidRPr="009C119C">
              <w:lastRenderedPageBreak/>
              <w:t>record unavailable to the patient/parent/guardian</w:t>
            </w:r>
            <w:r>
              <w:t>.</w:t>
            </w:r>
          </w:p>
          <w:p w14:paraId="732AC6A1" w14:textId="77777777" w:rsidR="00854692" w:rsidRDefault="00854692" w:rsidP="00F27A90">
            <w:pPr>
              <w:pStyle w:val="NoSpacing"/>
              <w:tabs>
                <w:tab w:val="left" w:pos="971"/>
              </w:tabs>
            </w:pPr>
          </w:p>
          <w:p w14:paraId="4B12F5F7" w14:textId="77777777" w:rsidR="00854692" w:rsidRDefault="00854692" w:rsidP="00854692">
            <w:pPr>
              <w:pStyle w:val="NoSpacing"/>
              <w:numPr>
                <w:ilvl w:val="0"/>
                <w:numId w:val="4"/>
              </w:numPr>
              <w:tabs>
                <w:tab w:val="left" w:pos="971"/>
              </w:tabs>
              <w:rPr>
                <w:rStyle w:val="cf01"/>
                <w:rFonts w:cs="Arial"/>
              </w:rPr>
            </w:pPr>
            <w:r w:rsidRPr="009C119C">
              <w:rPr>
                <w:rStyle w:val="cf01"/>
                <w:rFonts w:cs="Arial"/>
              </w:rPr>
              <w:t xml:space="preserve">So far as the GP </w:t>
            </w:r>
            <w:proofErr w:type="gramStart"/>
            <w:r w:rsidRPr="009C119C">
              <w:rPr>
                <w:rStyle w:val="cf01"/>
                <w:rFonts w:cs="Arial"/>
              </w:rPr>
              <w:t>is able to</w:t>
            </w:r>
            <w:proofErr w:type="gramEnd"/>
            <w:r w:rsidRPr="009C119C">
              <w:rPr>
                <w:rStyle w:val="cf01"/>
                <w:rFonts w:cs="Arial"/>
              </w:rPr>
              <w:t xml:space="preserve"> remind each set of those legally responsible for the child and who have access to online medical records to </w:t>
            </w:r>
            <w:r w:rsidRPr="009C119C">
              <w:rPr>
                <w:rStyle w:val="cf11"/>
                <w:rFonts w:cs="Arial"/>
              </w:rPr>
              <w:t>request the practice revoke and reprovision access</w:t>
            </w:r>
            <w:r w:rsidRPr="009C119C">
              <w:rPr>
                <w:rStyle w:val="cf01"/>
                <w:rFonts w:cs="Arial"/>
              </w:rPr>
              <w:t xml:space="preserve"> each time another adult takes responsibility for the child’s welfare in order that only those who are currently responsible for the child’s welfare are able to access the child’s records. </w:t>
            </w:r>
            <w:proofErr w:type="gramStart"/>
            <w:r w:rsidRPr="009C119C">
              <w:rPr>
                <w:rStyle w:val="cf01"/>
                <w:rFonts w:cs="Arial"/>
              </w:rPr>
              <w:t>However</w:t>
            </w:r>
            <w:proofErr w:type="gramEnd"/>
            <w:r w:rsidRPr="009C119C">
              <w:rPr>
                <w:rStyle w:val="cf01"/>
                <w:rFonts w:cs="Arial"/>
              </w:rPr>
              <w:t xml:space="preserve"> the GP has ultimately no control over this mitigation process.</w:t>
            </w:r>
            <w:r>
              <w:rPr>
                <w:rStyle w:val="cf01"/>
                <w:rFonts w:cs="Arial"/>
              </w:rPr>
              <w:t xml:space="preserve"> GPs also to check how many proxy users have access and </w:t>
            </w:r>
            <w:r w:rsidRPr="58BBD537">
              <w:rPr>
                <w:rStyle w:val="cf01"/>
                <w:rFonts w:cs="Arial"/>
              </w:rPr>
              <w:t>ensure</w:t>
            </w:r>
            <w:r>
              <w:rPr>
                <w:rStyle w:val="cf01"/>
                <w:rFonts w:cs="Arial"/>
              </w:rPr>
              <w:t xml:space="preserve"> that each of those users requires access and such access is appropriate. </w:t>
            </w:r>
          </w:p>
          <w:p w14:paraId="3172D8BA" w14:textId="77777777" w:rsidR="00854692" w:rsidRDefault="00854692" w:rsidP="00F27A90">
            <w:pPr>
              <w:pStyle w:val="NoSpacing"/>
              <w:tabs>
                <w:tab w:val="left" w:pos="971"/>
              </w:tabs>
              <w:rPr>
                <w:rFonts w:cs="Arial"/>
              </w:rPr>
            </w:pPr>
          </w:p>
          <w:p w14:paraId="1DF122CD" w14:textId="77777777" w:rsidR="00854692" w:rsidRDefault="00854692" w:rsidP="00F27A90">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w:t>
            </w:r>
            <w:proofErr w:type="gramStart"/>
            <w:r w:rsidRPr="0094084E">
              <w:rPr>
                <w:rFonts w:cs="Arial"/>
              </w:rPr>
              <w:t>removed</w:t>
            </w:r>
            <w:proofErr w:type="gramEnd"/>
            <w:r w:rsidRPr="0094084E">
              <w:rPr>
                <w:rFonts w:cs="Arial"/>
              </w:rPr>
              <w:t xml:space="preserve">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w:t>
            </w:r>
            <w:r w:rsidRPr="0094084E">
              <w:rPr>
                <w:rFonts w:cs="Arial"/>
              </w:rPr>
              <w:lastRenderedPageBreak/>
              <w:t xml:space="preserve">step </w:t>
            </w:r>
            <w:r>
              <w:rPr>
                <w:rFonts w:cs="Arial"/>
              </w:rPr>
              <w:t>would be</w:t>
            </w:r>
            <w:r w:rsidRPr="0094084E">
              <w:rPr>
                <w:rFonts w:cs="Arial"/>
              </w:rPr>
              <w:t xml:space="preserve"> 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46D0D409" w14:textId="77777777" w:rsidR="00854692" w:rsidRDefault="00854692" w:rsidP="00F27A90">
            <w:pPr>
              <w:pStyle w:val="NoSpacing"/>
              <w:tabs>
                <w:tab w:val="left" w:pos="971"/>
              </w:tabs>
              <w:rPr>
                <w:rFonts w:cs="Arial"/>
              </w:rPr>
            </w:pPr>
          </w:p>
          <w:p w14:paraId="546334A3" w14:textId="77777777" w:rsidR="00854692" w:rsidRDefault="00854692" w:rsidP="00F27A90">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access to their medical records would trigger self-harm and/or suicide therefore a GP should review the clinical appropriateness of providing online access to medical records with a patient before it is </w:t>
            </w:r>
            <w:proofErr w:type="gramStart"/>
            <w:r w:rsidRPr="0094084E">
              <w:rPr>
                <w:rFonts w:cs="Arial"/>
              </w:rPr>
              <w:t>given</w:t>
            </w:r>
            <w:proofErr w:type="gramEnd"/>
            <w:r w:rsidRPr="0094084E">
              <w:rPr>
                <w:rFonts w:cs="Arial"/>
              </w:rPr>
              <w:t xml:space="preserve"> and </w:t>
            </w:r>
            <w:r w:rsidRPr="7637A760">
              <w:rPr>
                <w:rFonts w:cs="Arial"/>
              </w:rPr>
              <w:t>this should</w:t>
            </w:r>
            <w:r w:rsidRPr="0094084E">
              <w:rPr>
                <w:rFonts w:cs="Arial"/>
              </w:rPr>
              <w:t xml:space="preserve"> be kept under review to ensure that the patient is providing informed consent and that the GP is discharging its clinical and legal duties to the patient.</w:t>
            </w:r>
          </w:p>
          <w:p w14:paraId="7CE7231C" w14:textId="77777777" w:rsidR="00854692" w:rsidRPr="009C119C" w:rsidRDefault="00854692" w:rsidP="00F27A90">
            <w:pPr>
              <w:pStyle w:val="NoSpacing"/>
              <w:tabs>
                <w:tab w:val="left" w:pos="971"/>
              </w:tabs>
              <w:rPr>
                <w:rFonts w:cs="Arial"/>
              </w:rPr>
            </w:pPr>
          </w:p>
        </w:tc>
        <w:tc>
          <w:tcPr>
            <w:tcW w:w="3200" w:type="dxa"/>
          </w:tcPr>
          <w:p w14:paraId="4A3AD777" w14:textId="77777777" w:rsidR="00854692" w:rsidRDefault="00854692" w:rsidP="00F27A90">
            <w:pPr>
              <w:pStyle w:val="NoSpacing"/>
            </w:pPr>
          </w:p>
          <w:p w14:paraId="4E68D875" w14:textId="77777777" w:rsidR="00854692" w:rsidRDefault="00854692" w:rsidP="00F27A90">
            <w:pPr>
              <w:pStyle w:val="NoSpacing"/>
            </w:pPr>
            <w:r>
              <w:t>Accepted</w:t>
            </w:r>
          </w:p>
          <w:p w14:paraId="2744CD62" w14:textId="77777777" w:rsidR="00854692" w:rsidRDefault="00854692" w:rsidP="00F27A90">
            <w:pPr>
              <w:pStyle w:val="NoSpacing"/>
            </w:pPr>
          </w:p>
          <w:p w14:paraId="1587EA04" w14:textId="77777777" w:rsidR="00854692" w:rsidRDefault="00854692" w:rsidP="00F27A90">
            <w:pPr>
              <w:pStyle w:val="NoSpacing"/>
            </w:pPr>
          </w:p>
          <w:p w14:paraId="1A2964E3" w14:textId="77777777" w:rsidR="00854692" w:rsidRDefault="00854692" w:rsidP="00F27A90">
            <w:pPr>
              <w:pStyle w:val="NoSpacing"/>
            </w:pPr>
          </w:p>
          <w:p w14:paraId="41100C3E" w14:textId="77777777" w:rsidR="00854692" w:rsidRDefault="00854692" w:rsidP="00F27A90">
            <w:pPr>
              <w:pStyle w:val="NoSpacing"/>
            </w:pPr>
          </w:p>
          <w:p w14:paraId="1FB26DB5" w14:textId="77777777" w:rsidR="00854692" w:rsidRDefault="00854692" w:rsidP="00F27A90">
            <w:pPr>
              <w:pStyle w:val="NoSpacing"/>
            </w:pPr>
            <w:r>
              <w:t>Reduced</w:t>
            </w:r>
          </w:p>
          <w:p w14:paraId="1B2781A9" w14:textId="77777777" w:rsidR="00854692" w:rsidRDefault="00854692" w:rsidP="00F27A90">
            <w:pPr>
              <w:pStyle w:val="NoSpacing"/>
            </w:pPr>
          </w:p>
          <w:p w14:paraId="55A6001E" w14:textId="77777777" w:rsidR="00854692" w:rsidRDefault="00854692" w:rsidP="00F27A90">
            <w:pPr>
              <w:pStyle w:val="NoSpacing"/>
            </w:pPr>
          </w:p>
          <w:p w14:paraId="5C5F62ED" w14:textId="77777777" w:rsidR="00854692" w:rsidRDefault="00854692" w:rsidP="00F27A90">
            <w:pPr>
              <w:pStyle w:val="NoSpacing"/>
            </w:pPr>
          </w:p>
          <w:p w14:paraId="52630ABE" w14:textId="77777777" w:rsidR="00854692" w:rsidRDefault="00854692" w:rsidP="00F27A90">
            <w:pPr>
              <w:pStyle w:val="NoSpacing"/>
            </w:pPr>
          </w:p>
          <w:p w14:paraId="3CA00366" w14:textId="77777777" w:rsidR="00854692" w:rsidRDefault="00854692" w:rsidP="00F27A90">
            <w:pPr>
              <w:pStyle w:val="NoSpacing"/>
            </w:pPr>
          </w:p>
          <w:p w14:paraId="61AF3ADE" w14:textId="77777777" w:rsidR="00854692" w:rsidRDefault="00854692" w:rsidP="00F27A90">
            <w:pPr>
              <w:pStyle w:val="NoSpacing"/>
            </w:pPr>
          </w:p>
          <w:p w14:paraId="1A72362F" w14:textId="77777777" w:rsidR="00854692" w:rsidRDefault="00854692" w:rsidP="00F27A90">
            <w:pPr>
              <w:pStyle w:val="NoSpacing"/>
            </w:pPr>
          </w:p>
          <w:p w14:paraId="2A957341" w14:textId="77777777" w:rsidR="00854692" w:rsidRDefault="00854692" w:rsidP="00F27A90">
            <w:pPr>
              <w:pStyle w:val="NoSpacing"/>
            </w:pPr>
            <w:r>
              <w:t>Reduced</w:t>
            </w:r>
          </w:p>
          <w:p w14:paraId="427357B5" w14:textId="77777777" w:rsidR="00854692" w:rsidRDefault="00854692" w:rsidP="00F27A90">
            <w:pPr>
              <w:pStyle w:val="NoSpacing"/>
            </w:pPr>
          </w:p>
          <w:p w14:paraId="5DF8A573" w14:textId="77777777" w:rsidR="00854692" w:rsidRDefault="00854692" w:rsidP="00F27A90">
            <w:pPr>
              <w:pStyle w:val="NoSpacing"/>
            </w:pPr>
          </w:p>
          <w:p w14:paraId="26F01FCB" w14:textId="77777777" w:rsidR="00854692" w:rsidRDefault="00854692" w:rsidP="00F27A90">
            <w:pPr>
              <w:pStyle w:val="NoSpacing"/>
            </w:pPr>
          </w:p>
          <w:p w14:paraId="6500819D" w14:textId="77777777" w:rsidR="00854692" w:rsidRDefault="00854692" w:rsidP="00F27A90">
            <w:pPr>
              <w:pStyle w:val="NoSpacing"/>
            </w:pPr>
          </w:p>
          <w:p w14:paraId="5F796031" w14:textId="77777777" w:rsidR="00854692" w:rsidRDefault="00854692" w:rsidP="00F27A90">
            <w:pPr>
              <w:pStyle w:val="NoSpacing"/>
            </w:pPr>
          </w:p>
          <w:p w14:paraId="4E6C10D1" w14:textId="77777777" w:rsidR="00854692" w:rsidRDefault="00854692" w:rsidP="00F27A90">
            <w:pPr>
              <w:pStyle w:val="NoSpacing"/>
            </w:pPr>
          </w:p>
          <w:p w14:paraId="22CDF3AD" w14:textId="77777777" w:rsidR="00854692" w:rsidRDefault="00854692" w:rsidP="00F27A90">
            <w:pPr>
              <w:pStyle w:val="NoSpacing"/>
            </w:pPr>
          </w:p>
          <w:p w14:paraId="5209EDD7" w14:textId="77777777" w:rsidR="00854692" w:rsidRDefault="00854692" w:rsidP="00F27A90">
            <w:pPr>
              <w:pStyle w:val="NoSpacing"/>
            </w:pPr>
          </w:p>
          <w:p w14:paraId="61F64192" w14:textId="77777777" w:rsidR="00854692" w:rsidRDefault="00854692" w:rsidP="00F27A90">
            <w:pPr>
              <w:pStyle w:val="NoSpacing"/>
            </w:pPr>
          </w:p>
          <w:p w14:paraId="3F3E7088" w14:textId="77777777" w:rsidR="00854692" w:rsidRDefault="00854692" w:rsidP="00F27A90">
            <w:pPr>
              <w:pStyle w:val="NoSpacing"/>
            </w:pPr>
          </w:p>
          <w:p w14:paraId="596FD9DC" w14:textId="77777777" w:rsidR="00854692" w:rsidRDefault="00854692" w:rsidP="00F27A90">
            <w:pPr>
              <w:pStyle w:val="NoSpacing"/>
            </w:pPr>
          </w:p>
          <w:p w14:paraId="3305BF90" w14:textId="77777777" w:rsidR="00854692" w:rsidRDefault="00854692" w:rsidP="00F27A90">
            <w:pPr>
              <w:pStyle w:val="NoSpacing"/>
            </w:pPr>
          </w:p>
          <w:p w14:paraId="7E92CDB4" w14:textId="77777777" w:rsidR="00854692" w:rsidRDefault="00854692" w:rsidP="00F27A90">
            <w:pPr>
              <w:pStyle w:val="NoSpacing"/>
            </w:pPr>
          </w:p>
          <w:p w14:paraId="60EA5CCA" w14:textId="77777777" w:rsidR="00854692" w:rsidRDefault="00854692" w:rsidP="00F27A90">
            <w:pPr>
              <w:pStyle w:val="NoSpacing"/>
            </w:pPr>
          </w:p>
          <w:p w14:paraId="19F68887" w14:textId="77777777" w:rsidR="00854692" w:rsidRDefault="00854692" w:rsidP="00F27A90">
            <w:pPr>
              <w:pStyle w:val="NoSpacing"/>
            </w:pPr>
          </w:p>
          <w:p w14:paraId="21E06009" w14:textId="77777777" w:rsidR="00854692" w:rsidRDefault="00854692" w:rsidP="00F27A90">
            <w:pPr>
              <w:pStyle w:val="NoSpacing"/>
            </w:pPr>
          </w:p>
          <w:p w14:paraId="37D10D91" w14:textId="77777777" w:rsidR="00854692" w:rsidRDefault="00854692" w:rsidP="00F27A90">
            <w:pPr>
              <w:pStyle w:val="NoSpacing"/>
            </w:pPr>
          </w:p>
          <w:p w14:paraId="6A023469" w14:textId="77777777" w:rsidR="00854692" w:rsidRDefault="00854692" w:rsidP="00F27A90">
            <w:pPr>
              <w:pStyle w:val="NoSpacing"/>
            </w:pPr>
          </w:p>
          <w:p w14:paraId="71A19DF2" w14:textId="77777777" w:rsidR="00854692" w:rsidRDefault="00854692" w:rsidP="00F27A90">
            <w:pPr>
              <w:pStyle w:val="NoSpacing"/>
            </w:pPr>
          </w:p>
          <w:p w14:paraId="60354C24" w14:textId="77777777" w:rsidR="00854692" w:rsidRDefault="00854692" w:rsidP="00F27A90">
            <w:pPr>
              <w:pStyle w:val="NoSpacing"/>
            </w:pPr>
            <w:r>
              <w:t>Reduced</w:t>
            </w:r>
          </w:p>
          <w:p w14:paraId="77B6EB66" w14:textId="77777777" w:rsidR="00854692" w:rsidRDefault="00854692" w:rsidP="00F27A90">
            <w:pPr>
              <w:pStyle w:val="NoSpacing"/>
            </w:pPr>
          </w:p>
          <w:p w14:paraId="3F719E97" w14:textId="77777777" w:rsidR="00854692" w:rsidRDefault="00854692" w:rsidP="00F27A90">
            <w:pPr>
              <w:pStyle w:val="NoSpacing"/>
            </w:pPr>
          </w:p>
          <w:p w14:paraId="04DDEE7C" w14:textId="77777777" w:rsidR="00854692" w:rsidRDefault="00854692" w:rsidP="00F27A90">
            <w:pPr>
              <w:pStyle w:val="NoSpacing"/>
            </w:pPr>
          </w:p>
          <w:p w14:paraId="5112C68A" w14:textId="77777777" w:rsidR="00854692" w:rsidRDefault="00854692" w:rsidP="00F27A90">
            <w:pPr>
              <w:pStyle w:val="NoSpacing"/>
            </w:pPr>
          </w:p>
          <w:p w14:paraId="58577E83" w14:textId="77777777" w:rsidR="00854692" w:rsidRDefault="00854692" w:rsidP="00F27A90">
            <w:pPr>
              <w:pStyle w:val="NoSpacing"/>
            </w:pPr>
          </w:p>
          <w:p w14:paraId="2F9D5463" w14:textId="77777777" w:rsidR="00854692" w:rsidRDefault="00854692" w:rsidP="00F27A90">
            <w:pPr>
              <w:pStyle w:val="NoSpacing"/>
            </w:pPr>
          </w:p>
          <w:p w14:paraId="41BB29EA" w14:textId="77777777" w:rsidR="00854692" w:rsidRDefault="00854692" w:rsidP="00F27A90">
            <w:pPr>
              <w:pStyle w:val="NoSpacing"/>
            </w:pPr>
          </w:p>
          <w:p w14:paraId="4443C894" w14:textId="77777777" w:rsidR="00854692" w:rsidRDefault="00854692" w:rsidP="00F27A90">
            <w:pPr>
              <w:pStyle w:val="NoSpacing"/>
            </w:pPr>
          </w:p>
          <w:p w14:paraId="7772B60C" w14:textId="77777777" w:rsidR="00854692" w:rsidRDefault="00854692" w:rsidP="00F27A90">
            <w:pPr>
              <w:pStyle w:val="NoSpacing"/>
            </w:pPr>
          </w:p>
          <w:p w14:paraId="06BED3DD" w14:textId="77777777" w:rsidR="00854692" w:rsidRDefault="00854692" w:rsidP="00F27A90">
            <w:pPr>
              <w:pStyle w:val="NoSpacing"/>
            </w:pPr>
          </w:p>
          <w:p w14:paraId="61D26F2B" w14:textId="77777777" w:rsidR="00854692" w:rsidRDefault="00854692" w:rsidP="00F27A90">
            <w:pPr>
              <w:pStyle w:val="NoSpacing"/>
            </w:pPr>
          </w:p>
          <w:p w14:paraId="60FFB310" w14:textId="77777777" w:rsidR="00854692" w:rsidRDefault="00854692" w:rsidP="00F27A90">
            <w:pPr>
              <w:pStyle w:val="NoSpacing"/>
            </w:pPr>
          </w:p>
          <w:p w14:paraId="4C8562F9" w14:textId="77777777" w:rsidR="00854692" w:rsidRDefault="00854692" w:rsidP="00F27A90">
            <w:pPr>
              <w:pStyle w:val="NoSpacing"/>
            </w:pPr>
          </w:p>
          <w:p w14:paraId="3432D575" w14:textId="77777777" w:rsidR="00854692" w:rsidRDefault="00854692" w:rsidP="00F27A90">
            <w:pPr>
              <w:pStyle w:val="NoSpacing"/>
            </w:pPr>
          </w:p>
          <w:p w14:paraId="1D33ABAB" w14:textId="77777777" w:rsidR="00854692" w:rsidRDefault="00854692" w:rsidP="00F27A90">
            <w:pPr>
              <w:pStyle w:val="NoSpacing"/>
            </w:pPr>
          </w:p>
          <w:p w14:paraId="624D8181" w14:textId="77777777" w:rsidR="00854692" w:rsidRDefault="00854692" w:rsidP="00F27A90">
            <w:pPr>
              <w:pStyle w:val="NoSpacing"/>
            </w:pPr>
          </w:p>
          <w:p w14:paraId="526E2F84" w14:textId="77777777" w:rsidR="00854692" w:rsidRDefault="00854692" w:rsidP="00F27A90">
            <w:pPr>
              <w:pStyle w:val="NoSpacing"/>
            </w:pPr>
          </w:p>
          <w:p w14:paraId="6821CC3E" w14:textId="77777777" w:rsidR="00854692" w:rsidRDefault="00854692" w:rsidP="00F27A90">
            <w:pPr>
              <w:pStyle w:val="NoSpacing"/>
            </w:pPr>
          </w:p>
          <w:p w14:paraId="73A558F0" w14:textId="77777777" w:rsidR="00854692" w:rsidRDefault="00854692" w:rsidP="00F27A90">
            <w:pPr>
              <w:pStyle w:val="NoSpacing"/>
            </w:pPr>
          </w:p>
          <w:p w14:paraId="2951D70A" w14:textId="77777777" w:rsidR="00854692" w:rsidRDefault="00854692" w:rsidP="00F27A90">
            <w:pPr>
              <w:pStyle w:val="NoSpacing"/>
            </w:pPr>
          </w:p>
          <w:p w14:paraId="43B36B2E" w14:textId="77777777" w:rsidR="00854692" w:rsidRDefault="00854692" w:rsidP="00F27A90">
            <w:pPr>
              <w:pStyle w:val="NoSpacing"/>
            </w:pPr>
          </w:p>
          <w:p w14:paraId="5523A7AA" w14:textId="77777777" w:rsidR="00854692" w:rsidRDefault="00854692" w:rsidP="00F27A90">
            <w:pPr>
              <w:pStyle w:val="NoSpacing"/>
            </w:pPr>
          </w:p>
          <w:p w14:paraId="53E40A6F" w14:textId="77777777" w:rsidR="00854692" w:rsidRDefault="00854692" w:rsidP="00F27A90">
            <w:pPr>
              <w:pStyle w:val="NoSpacing"/>
            </w:pPr>
          </w:p>
          <w:p w14:paraId="6E7130D1" w14:textId="77777777" w:rsidR="00854692" w:rsidRDefault="00854692" w:rsidP="00F27A90">
            <w:pPr>
              <w:pStyle w:val="NoSpacing"/>
            </w:pPr>
          </w:p>
          <w:p w14:paraId="076AC2BB" w14:textId="77777777" w:rsidR="00854692" w:rsidRDefault="00854692" w:rsidP="00F27A90">
            <w:pPr>
              <w:pStyle w:val="NoSpacing"/>
            </w:pPr>
            <w:r>
              <w:t>Reduced</w:t>
            </w:r>
          </w:p>
        </w:tc>
        <w:tc>
          <w:tcPr>
            <w:tcW w:w="2300" w:type="dxa"/>
          </w:tcPr>
          <w:p w14:paraId="25BD3CB4" w14:textId="77777777" w:rsidR="00854692" w:rsidRDefault="00854692" w:rsidP="00F27A90">
            <w:pPr>
              <w:pStyle w:val="NoSpacing"/>
            </w:pPr>
          </w:p>
          <w:p w14:paraId="67CE84C7" w14:textId="77777777" w:rsidR="00854692" w:rsidRDefault="00854692" w:rsidP="00F27A90">
            <w:pPr>
              <w:pStyle w:val="NoSpacing"/>
            </w:pPr>
            <w:r>
              <w:t>Low</w:t>
            </w:r>
          </w:p>
          <w:p w14:paraId="78C8B9C1" w14:textId="77777777" w:rsidR="00854692" w:rsidRDefault="00854692" w:rsidP="00F27A90">
            <w:pPr>
              <w:pStyle w:val="NoSpacing"/>
            </w:pPr>
          </w:p>
          <w:p w14:paraId="478B1DCB" w14:textId="77777777" w:rsidR="00854692" w:rsidRDefault="00854692" w:rsidP="00F27A90">
            <w:pPr>
              <w:pStyle w:val="NoSpacing"/>
            </w:pPr>
          </w:p>
          <w:p w14:paraId="3F02D82D" w14:textId="77777777" w:rsidR="00854692" w:rsidRDefault="00854692" w:rsidP="00F27A90">
            <w:pPr>
              <w:pStyle w:val="NoSpacing"/>
            </w:pPr>
          </w:p>
          <w:p w14:paraId="6B2C119C" w14:textId="77777777" w:rsidR="00854692" w:rsidRDefault="00854692" w:rsidP="00F27A90">
            <w:pPr>
              <w:pStyle w:val="NoSpacing"/>
            </w:pPr>
          </w:p>
          <w:p w14:paraId="14AC70A8" w14:textId="77777777" w:rsidR="00854692" w:rsidRDefault="00854692" w:rsidP="00F27A90">
            <w:pPr>
              <w:pStyle w:val="NoSpacing"/>
            </w:pPr>
            <w:r>
              <w:t>Medium</w:t>
            </w:r>
          </w:p>
          <w:p w14:paraId="366A8E8F" w14:textId="77777777" w:rsidR="00854692" w:rsidRDefault="00854692" w:rsidP="00F27A90">
            <w:pPr>
              <w:pStyle w:val="NoSpacing"/>
            </w:pPr>
          </w:p>
          <w:p w14:paraId="30EBE043" w14:textId="77777777" w:rsidR="00854692" w:rsidRDefault="00854692" w:rsidP="00F27A90">
            <w:pPr>
              <w:pStyle w:val="NoSpacing"/>
            </w:pPr>
          </w:p>
          <w:p w14:paraId="64073BC9" w14:textId="77777777" w:rsidR="00854692" w:rsidRDefault="00854692" w:rsidP="00F27A90">
            <w:pPr>
              <w:pStyle w:val="NoSpacing"/>
            </w:pPr>
          </w:p>
          <w:p w14:paraId="048D78DF" w14:textId="77777777" w:rsidR="00854692" w:rsidRDefault="00854692" w:rsidP="00F27A90">
            <w:pPr>
              <w:pStyle w:val="NoSpacing"/>
            </w:pPr>
          </w:p>
          <w:p w14:paraId="4262B73D" w14:textId="77777777" w:rsidR="00854692" w:rsidRDefault="00854692" w:rsidP="00F27A90">
            <w:pPr>
              <w:pStyle w:val="NoSpacing"/>
            </w:pPr>
          </w:p>
          <w:p w14:paraId="601C69C9" w14:textId="77777777" w:rsidR="00854692" w:rsidRDefault="00854692" w:rsidP="00F27A90">
            <w:pPr>
              <w:pStyle w:val="NoSpacing"/>
            </w:pPr>
          </w:p>
          <w:p w14:paraId="3D1340ED" w14:textId="77777777" w:rsidR="00854692" w:rsidRDefault="00854692" w:rsidP="00F27A90">
            <w:pPr>
              <w:pStyle w:val="NoSpacing"/>
            </w:pPr>
          </w:p>
          <w:p w14:paraId="26AE9612" w14:textId="77777777" w:rsidR="00854692" w:rsidRDefault="00854692" w:rsidP="00F27A90">
            <w:pPr>
              <w:pStyle w:val="NoSpacing"/>
            </w:pPr>
            <w:r>
              <w:t>Medium</w:t>
            </w:r>
          </w:p>
          <w:p w14:paraId="12BFFF71" w14:textId="77777777" w:rsidR="00854692" w:rsidRDefault="00854692" w:rsidP="00F27A90">
            <w:pPr>
              <w:pStyle w:val="NoSpacing"/>
            </w:pPr>
          </w:p>
          <w:p w14:paraId="6AB74FCA" w14:textId="77777777" w:rsidR="00854692" w:rsidRDefault="00854692" w:rsidP="00F27A90">
            <w:pPr>
              <w:pStyle w:val="NoSpacing"/>
            </w:pPr>
          </w:p>
          <w:p w14:paraId="157CEC00" w14:textId="77777777" w:rsidR="00854692" w:rsidRDefault="00854692" w:rsidP="00F27A90">
            <w:pPr>
              <w:pStyle w:val="NoSpacing"/>
            </w:pPr>
          </w:p>
          <w:p w14:paraId="747679E3" w14:textId="77777777" w:rsidR="00854692" w:rsidRDefault="00854692" w:rsidP="00F27A90">
            <w:pPr>
              <w:pStyle w:val="NoSpacing"/>
            </w:pPr>
          </w:p>
          <w:p w14:paraId="002EFB05" w14:textId="77777777" w:rsidR="00854692" w:rsidRDefault="00854692" w:rsidP="00F27A90">
            <w:pPr>
              <w:pStyle w:val="NoSpacing"/>
            </w:pPr>
          </w:p>
          <w:p w14:paraId="2560A48B" w14:textId="77777777" w:rsidR="00854692" w:rsidRDefault="00854692" w:rsidP="00F27A90">
            <w:pPr>
              <w:pStyle w:val="NoSpacing"/>
            </w:pPr>
          </w:p>
          <w:p w14:paraId="0795250B" w14:textId="77777777" w:rsidR="00854692" w:rsidRDefault="00854692" w:rsidP="00F27A90">
            <w:pPr>
              <w:pStyle w:val="NoSpacing"/>
            </w:pPr>
          </w:p>
          <w:p w14:paraId="7FBACFDD" w14:textId="77777777" w:rsidR="00854692" w:rsidRDefault="00854692" w:rsidP="00F27A90">
            <w:pPr>
              <w:pStyle w:val="NoSpacing"/>
            </w:pPr>
          </w:p>
          <w:p w14:paraId="3CC54C51" w14:textId="77777777" w:rsidR="00854692" w:rsidRDefault="00854692" w:rsidP="00F27A90">
            <w:pPr>
              <w:pStyle w:val="NoSpacing"/>
            </w:pPr>
          </w:p>
          <w:p w14:paraId="780DA327" w14:textId="77777777" w:rsidR="00854692" w:rsidRDefault="00854692" w:rsidP="00F27A90">
            <w:pPr>
              <w:pStyle w:val="NoSpacing"/>
            </w:pPr>
          </w:p>
          <w:p w14:paraId="3E39064E" w14:textId="77777777" w:rsidR="00854692" w:rsidRDefault="00854692" w:rsidP="00F27A90">
            <w:pPr>
              <w:pStyle w:val="NoSpacing"/>
            </w:pPr>
          </w:p>
          <w:p w14:paraId="2CB3B0FC" w14:textId="77777777" w:rsidR="00854692" w:rsidRDefault="00854692" w:rsidP="00F27A90">
            <w:pPr>
              <w:pStyle w:val="NoSpacing"/>
            </w:pPr>
          </w:p>
          <w:p w14:paraId="04997470" w14:textId="77777777" w:rsidR="00854692" w:rsidRDefault="00854692" w:rsidP="00F27A90">
            <w:pPr>
              <w:pStyle w:val="NoSpacing"/>
            </w:pPr>
          </w:p>
          <w:p w14:paraId="0E14ABB5" w14:textId="77777777" w:rsidR="00854692" w:rsidRDefault="00854692" w:rsidP="00F27A90">
            <w:pPr>
              <w:pStyle w:val="NoSpacing"/>
            </w:pPr>
          </w:p>
          <w:p w14:paraId="4A0BE903" w14:textId="77777777" w:rsidR="00854692" w:rsidRDefault="00854692" w:rsidP="00F27A90">
            <w:pPr>
              <w:pStyle w:val="NoSpacing"/>
            </w:pPr>
          </w:p>
          <w:p w14:paraId="45F70303" w14:textId="77777777" w:rsidR="00854692" w:rsidRDefault="00854692" w:rsidP="00F27A90">
            <w:pPr>
              <w:pStyle w:val="NoSpacing"/>
            </w:pPr>
          </w:p>
          <w:p w14:paraId="303B6BA6" w14:textId="77777777" w:rsidR="00854692" w:rsidRDefault="00854692" w:rsidP="00F27A90">
            <w:pPr>
              <w:pStyle w:val="NoSpacing"/>
            </w:pPr>
          </w:p>
          <w:p w14:paraId="729D85CF" w14:textId="77777777" w:rsidR="00854692" w:rsidRDefault="00854692" w:rsidP="00F27A90">
            <w:pPr>
              <w:pStyle w:val="NoSpacing"/>
            </w:pPr>
          </w:p>
          <w:p w14:paraId="2023537B" w14:textId="77777777" w:rsidR="00854692" w:rsidRDefault="00854692" w:rsidP="00F27A90">
            <w:pPr>
              <w:pStyle w:val="NoSpacing"/>
            </w:pPr>
          </w:p>
          <w:p w14:paraId="06466423" w14:textId="77777777" w:rsidR="00854692" w:rsidRDefault="00854692" w:rsidP="00F27A90">
            <w:pPr>
              <w:pStyle w:val="NoSpacing"/>
            </w:pPr>
            <w:r>
              <w:t>Medium</w:t>
            </w:r>
          </w:p>
          <w:p w14:paraId="557C4D02" w14:textId="77777777" w:rsidR="00854692" w:rsidRDefault="00854692" w:rsidP="00F27A90">
            <w:pPr>
              <w:pStyle w:val="NoSpacing"/>
            </w:pPr>
          </w:p>
          <w:p w14:paraId="1CA32BB5" w14:textId="77777777" w:rsidR="00854692" w:rsidRDefault="00854692" w:rsidP="00F27A90">
            <w:pPr>
              <w:pStyle w:val="NoSpacing"/>
            </w:pPr>
          </w:p>
          <w:p w14:paraId="3AD07A66" w14:textId="77777777" w:rsidR="00854692" w:rsidRDefault="00854692" w:rsidP="00F27A90">
            <w:pPr>
              <w:pStyle w:val="NoSpacing"/>
            </w:pPr>
          </w:p>
          <w:p w14:paraId="6AF46502" w14:textId="77777777" w:rsidR="00854692" w:rsidRDefault="00854692" w:rsidP="00F27A90">
            <w:pPr>
              <w:pStyle w:val="NoSpacing"/>
            </w:pPr>
          </w:p>
          <w:p w14:paraId="3CD3E248" w14:textId="77777777" w:rsidR="00854692" w:rsidRDefault="00854692" w:rsidP="00F27A90">
            <w:pPr>
              <w:pStyle w:val="NoSpacing"/>
            </w:pPr>
          </w:p>
          <w:p w14:paraId="279CB501" w14:textId="77777777" w:rsidR="00854692" w:rsidRDefault="00854692" w:rsidP="00F27A90">
            <w:pPr>
              <w:pStyle w:val="NoSpacing"/>
            </w:pPr>
          </w:p>
          <w:p w14:paraId="41D8C0D4" w14:textId="77777777" w:rsidR="00854692" w:rsidRDefault="00854692" w:rsidP="00F27A90">
            <w:pPr>
              <w:pStyle w:val="NoSpacing"/>
            </w:pPr>
          </w:p>
          <w:p w14:paraId="336A5A36" w14:textId="77777777" w:rsidR="00854692" w:rsidRDefault="00854692" w:rsidP="00F27A90">
            <w:pPr>
              <w:pStyle w:val="NoSpacing"/>
            </w:pPr>
          </w:p>
          <w:p w14:paraId="12139140" w14:textId="77777777" w:rsidR="00854692" w:rsidRDefault="00854692" w:rsidP="00F27A90">
            <w:pPr>
              <w:pStyle w:val="NoSpacing"/>
            </w:pPr>
          </w:p>
          <w:p w14:paraId="13B8109B" w14:textId="77777777" w:rsidR="00854692" w:rsidRDefault="00854692" w:rsidP="00F27A90">
            <w:pPr>
              <w:pStyle w:val="NoSpacing"/>
            </w:pPr>
          </w:p>
          <w:p w14:paraId="1761C14F" w14:textId="77777777" w:rsidR="00854692" w:rsidRDefault="00854692" w:rsidP="00F27A90">
            <w:pPr>
              <w:pStyle w:val="NoSpacing"/>
            </w:pPr>
          </w:p>
          <w:p w14:paraId="1C41B39E" w14:textId="77777777" w:rsidR="00854692" w:rsidRDefault="00854692" w:rsidP="00F27A90">
            <w:pPr>
              <w:pStyle w:val="NoSpacing"/>
            </w:pPr>
          </w:p>
          <w:p w14:paraId="1F94658E" w14:textId="77777777" w:rsidR="00854692" w:rsidRDefault="00854692" w:rsidP="00F27A90">
            <w:pPr>
              <w:pStyle w:val="NoSpacing"/>
            </w:pPr>
          </w:p>
          <w:p w14:paraId="1B08B20F" w14:textId="77777777" w:rsidR="00854692" w:rsidRDefault="00854692" w:rsidP="00F27A90">
            <w:pPr>
              <w:pStyle w:val="NoSpacing"/>
            </w:pPr>
          </w:p>
          <w:p w14:paraId="37A3A924" w14:textId="77777777" w:rsidR="00854692" w:rsidRDefault="00854692" w:rsidP="00F27A90">
            <w:pPr>
              <w:pStyle w:val="NoSpacing"/>
            </w:pPr>
          </w:p>
          <w:p w14:paraId="1C9C8CB1" w14:textId="77777777" w:rsidR="00854692" w:rsidRDefault="00854692" w:rsidP="00F27A90">
            <w:pPr>
              <w:pStyle w:val="NoSpacing"/>
            </w:pPr>
          </w:p>
          <w:p w14:paraId="3CCE2822" w14:textId="77777777" w:rsidR="00854692" w:rsidRDefault="00854692" w:rsidP="00F27A90">
            <w:pPr>
              <w:pStyle w:val="NoSpacing"/>
            </w:pPr>
          </w:p>
          <w:p w14:paraId="4BE68548" w14:textId="77777777" w:rsidR="00854692" w:rsidRDefault="00854692" w:rsidP="00F27A90">
            <w:pPr>
              <w:pStyle w:val="NoSpacing"/>
            </w:pPr>
          </w:p>
          <w:p w14:paraId="6593E855" w14:textId="77777777" w:rsidR="00854692" w:rsidRDefault="00854692" w:rsidP="00F27A90">
            <w:pPr>
              <w:pStyle w:val="NoSpacing"/>
            </w:pPr>
          </w:p>
          <w:p w14:paraId="7644E229" w14:textId="77777777" w:rsidR="00854692" w:rsidRDefault="00854692" w:rsidP="00F27A90">
            <w:pPr>
              <w:pStyle w:val="NoSpacing"/>
            </w:pPr>
          </w:p>
          <w:p w14:paraId="4BA54491" w14:textId="77777777" w:rsidR="00854692" w:rsidRDefault="00854692" w:rsidP="00F27A90">
            <w:pPr>
              <w:pStyle w:val="NoSpacing"/>
            </w:pPr>
          </w:p>
          <w:p w14:paraId="1E444A51" w14:textId="77777777" w:rsidR="00854692" w:rsidRDefault="00854692" w:rsidP="00F27A90">
            <w:pPr>
              <w:pStyle w:val="NoSpacing"/>
            </w:pPr>
          </w:p>
          <w:p w14:paraId="3CE3BE86" w14:textId="77777777" w:rsidR="00854692" w:rsidRDefault="00854692" w:rsidP="00F27A90">
            <w:pPr>
              <w:pStyle w:val="NoSpacing"/>
            </w:pPr>
          </w:p>
          <w:p w14:paraId="0810DDE5" w14:textId="77777777" w:rsidR="00854692" w:rsidRDefault="00854692" w:rsidP="00F27A90">
            <w:pPr>
              <w:pStyle w:val="NoSpacing"/>
            </w:pPr>
          </w:p>
          <w:p w14:paraId="0A1D4B0C" w14:textId="77777777" w:rsidR="00854692" w:rsidRDefault="00854692" w:rsidP="00F27A90">
            <w:pPr>
              <w:pStyle w:val="NoSpacing"/>
            </w:pPr>
            <w:r>
              <w:t>Medium</w:t>
            </w:r>
          </w:p>
        </w:tc>
        <w:tc>
          <w:tcPr>
            <w:tcW w:w="1207" w:type="dxa"/>
          </w:tcPr>
          <w:p w14:paraId="20D4CF52" w14:textId="77777777" w:rsidR="00854692" w:rsidRDefault="00854692" w:rsidP="00F27A90">
            <w:pPr>
              <w:pStyle w:val="NoSpacing"/>
            </w:pPr>
          </w:p>
          <w:p w14:paraId="1F224CF7" w14:textId="77777777" w:rsidR="00854692" w:rsidRDefault="00854692" w:rsidP="00F27A90">
            <w:pPr>
              <w:pStyle w:val="NoSpacing"/>
            </w:pPr>
            <w:r>
              <w:t>Yes</w:t>
            </w:r>
          </w:p>
          <w:p w14:paraId="01EF60D9" w14:textId="77777777" w:rsidR="00854692" w:rsidRDefault="00854692" w:rsidP="00F27A90">
            <w:pPr>
              <w:pStyle w:val="NoSpacing"/>
            </w:pPr>
          </w:p>
          <w:p w14:paraId="57631263" w14:textId="77777777" w:rsidR="00854692" w:rsidRDefault="00854692" w:rsidP="00F27A90">
            <w:pPr>
              <w:pStyle w:val="NoSpacing"/>
            </w:pPr>
          </w:p>
          <w:p w14:paraId="0EC54A98" w14:textId="77777777" w:rsidR="00854692" w:rsidRDefault="00854692" w:rsidP="00F27A90">
            <w:pPr>
              <w:pStyle w:val="NoSpacing"/>
            </w:pPr>
          </w:p>
          <w:p w14:paraId="41CB5F8B" w14:textId="77777777" w:rsidR="00854692" w:rsidRDefault="00854692" w:rsidP="00F27A90">
            <w:pPr>
              <w:pStyle w:val="NoSpacing"/>
            </w:pPr>
          </w:p>
          <w:p w14:paraId="321D256C" w14:textId="77777777" w:rsidR="00854692" w:rsidRDefault="00854692" w:rsidP="00F27A90">
            <w:pPr>
              <w:pStyle w:val="NoSpacing"/>
            </w:pPr>
            <w:r>
              <w:t>Yes</w:t>
            </w:r>
          </w:p>
          <w:p w14:paraId="2331767B" w14:textId="77777777" w:rsidR="00854692" w:rsidRDefault="00854692" w:rsidP="00F27A90">
            <w:pPr>
              <w:pStyle w:val="NoSpacing"/>
            </w:pPr>
          </w:p>
          <w:p w14:paraId="3B9B02C8" w14:textId="77777777" w:rsidR="00854692" w:rsidRDefault="00854692" w:rsidP="00F27A90">
            <w:pPr>
              <w:pStyle w:val="NoSpacing"/>
            </w:pPr>
          </w:p>
          <w:p w14:paraId="44C6920A" w14:textId="77777777" w:rsidR="00854692" w:rsidRDefault="00854692" w:rsidP="00F27A90">
            <w:pPr>
              <w:pStyle w:val="NoSpacing"/>
            </w:pPr>
          </w:p>
          <w:p w14:paraId="10DD6C3E" w14:textId="77777777" w:rsidR="00854692" w:rsidRDefault="00854692" w:rsidP="00F27A90">
            <w:pPr>
              <w:pStyle w:val="NoSpacing"/>
            </w:pPr>
          </w:p>
          <w:p w14:paraId="198E3B80" w14:textId="77777777" w:rsidR="00854692" w:rsidRDefault="00854692" w:rsidP="00F27A90">
            <w:pPr>
              <w:pStyle w:val="NoSpacing"/>
            </w:pPr>
          </w:p>
          <w:p w14:paraId="008D6117" w14:textId="77777777" w:rsidR="00854692" w:rsidRDefault="00854692" w:rsidP="00F27A90">
            <w:pPr>
              <w:pStyle w:val="NoSpacing"/>
            </w:pPr>
          </w:p>
          <w:p w14:paraId="4AD25CB0" w14:textId="77777777" w:rsidR="00854692" w:rsidRDefault="00854692" w:rsidP="00F27A90">
            <w:pPr>
              <w:pStyle w:val="NoSpacing"/>
            </w:pPr>
          </w:p>
          <w:p w14:paraId="033AA1A9" w14:textId="77777777" w:rsidR="00854692" w:rsidRDefault="00854692" w:rsidP="00F27A90">
            <w:pPr>
              <w:pStyle w:val="NoSpacing"/>
            </w:pPr>
            <w:r>
              <w:t>Yes</w:t>
            </w:r>
          </w:p>
          <w:p w14:paraId="7B58878A" w14:textId="77777777" w:rsidR="00854692" w:rsidRDefault="00854692" w:rsidP="00F27A90">
            <w:pPr>
              <w:pStyle w:val="NoSpacing"/>
            </w:pPr>
          </w:p>
          <w:p w14:paraId="0E54AD5A" w14:textId="77777777" w:rsidR="00854692" w:rsidRDefault="00854692" w:rsidP="00F27A90">
            <w:pPr>
              <w:pStyle w:val="NoSpacing"/>
            </w:pPr>
          </w:p>
          <w:p w14:paraId="618B159C" w14:textId="77777777" w:rsidR="00854692" w:rsidRDefault="00854692" w:rsidP="00F27A90">
            <w:pPr>
              <w:pStyle w:val="NoSpacing"/>
            </w:pPr>
          </w:p>
          <w:p w14:paraId="2FC8D930" w14:textId="77777777" w:rsidR="00854692" w:rsidRDefault="00854692" w:rsidP="00F27A90">
            <w:pPr>
              <w:pStyle w:val="NoSpacing"/>
            </w:pPr>
          </w:p>
          <w:p w14:paraId="4740E645" w14:textId="77777777" w:rsidR="00854692" w:rsidRDefault="00854692" w:rsidP="00F27A90">
            <w:pPr>
              <w:pStyle w:val="NoSpacing"/>
            </w:pPr>
          </w:p>
          <w:p w14:paraId="1FCECB1F" w14:textId="77777777" w:rsidR="00854692" w:rsidRDefault="00854692" w:rsidP="00F27A90">
            <w:pPr>
              <w:pStyle w:val="NoSpacing"/>
            </w:pPr>
          </w:p>
          <w:p w14:paraId="5B5326DF" w14:textId="77777777" w:rsidR="00854692" w:rsidRDefault="00854692" w:rsidP="00F27A90">
            <w:pPr>
              <w:pStyle w:val="NoSpacing"/>
            </w:pPr>
          </w:p>
          <w:p w14:paraId="20072536" w14:textId="77777777" w:rsidR="00854692" w:rsidRDefault="00854692" w:rsidP="00F27A90">
            <w:pPr>
              <w:pStyle w:val="NoSpacing"/>
            </w:pPr>
          </w:p>
          <w:p w14:paraId="4D2B472F" w14:textId="77777777" w:rsidR="00854692" w:rsidRDefault="00854692" w:rsidP="00F27A90">
            <w:pPr>
              <w:pStyle w:val="NoSpacing"/>
            </w:pPr>
          </w:p>
          <w:p w14:paraId="1056A341" w14:textId="77777777" w:rsidR="00854692" w:rsidRDefault="00854692" w:rsidP="00F27A90">
            <w:pPr>
              <w:pStyle w:val="NoSpacing"/>
            </w:pPr>
          </w:p>
          <w:p w14:paraId="66C1AB89" w14:textId="77777777" w:rsidR="00854692" w:rsidRDefault="00854692" w:rsidP="00F27A90">
            <w:pPr>
              <w:pStyle w:val="NoSpacing"/>
            </w:pPr>
          </w:p>
          <w:p w14:paraId="2EDE8614" w14:textId="77777777" w:rsidR="00854692" w:rsidRDefault="00854692" w:rsidP="00F27A90">
            <w:pPr>
              <w:pStyle w:val="NoSpacing"/>
            </w:pPr>
          </w:p>
          <w:p w14:paraId="29CA88E8" w14:textId="77777777" w:rsidR="00854692" w:rsidRDefault="00854692" w:rsidP="00F27A90">
            <w:pPr>
              <w:pStyle w:val="NoSpacing"/>
            </w:pPr>
          </w:p>
          <w:p w14:paraId="59F2E560" w14:textId="77777777" w:rsidR="00854692" w:rsidRDefault="00854692" w:rsidP="00F27A90">
            <w:pPr>
              <w:pStyle w:val="NoSpacing"/>
            </w:pPr>
          </w:p>
          <w:p w14:paraId="56567D73" w14:textId="77777777" w:rsidR="00854692" w:rsidRDefault="00854692" w:rsidP="00F27A90">
            <w:pPr>
              <w:pStyle w:val="NoSpacing"/>
            </w:pPr>
          </w:p>
          <w:p w14:paraId="4F177BFE" w14:textId="77777777" w:rsidR="00854692" w:rsidRDefault="00854692" w:rsidP="00F27A90">
            <w:pPr>
              <w:pStyle w:val="NoSpacing"/>
            </w:pPr>
          </w:p>
          <w:p w14:paraId="52FCA999" w14:textId="77777777" w:rsidR="00854692" w:rsidRDefault="00854692" w:rsidP="00F27A90">
            <w:pPr>
              <w:pStyle w:val="NoSpacing"/>
            </w:pPr>
          </w:p>
          <w:p w14:paraId="420322C1" w14:textId="77777777" w:rsidR="00854692" w:rsidRDefault="00854692" w:rsidP="00F27A90">
            <w:pPr>
              <w:pStyle w:val="NoSpacing"/>
            </w:pPr>
          </w:p>
          <w:p w14:paraId="0D592D98" w14:textId="77777777" w:rsidR="00854692" w:rsidRDefault="00854692" w:rsidP="00F27A90">
            <w:pPr>
              <w:pStyle w:val="NoSpacing"/>
            </w:pPr>
          </w:p>
          <w:p w14:paraId="3136CDC7" w14:textId="77777777" w:rsidR="00854692" w:rsidRDefault="00854692" w:rsidP="00F27A90">
            <w:pPr>
              <w:pStyle w:val="NoSpacing"/>
            </w:pPr>
            <w:r>
              <w:t>Yes</w:t>
            </w:r>
          </w:p>
          <w:p w14:paraId="1E810F8E" w14:textId="77777777" w:rsidR="00854692" w:rsidRDefault="00854692" w:rsidP="00F27A90">
            <w:pPr>
              <w:pStyle w:val="NoSpacing"/>
            </w:pPr>
          </w:p>
          <w:p w14:paraId="583E8045" w14:textId="77777777" w:rsidR="00854692" w:rsidRDefault="00854692" w:rsidP="00F27A90">
            <w:pPr>
              <w:pStyle w:val="NoSpacing"/>
            </w:pPr>
          </w:p>
          <w:p w14:paraId="70CBAE0E" w14:textId="77777777" w:rsidR="00854692" w:rsidRDefault="00854692" w:rsidP="00F27A90">
            <w:pPr>
              <w:pStyle w:val="NoSpacing"/>
            </w:pPr>
          </w:p>
          <w:p w14:paraId="50E14ADE" w14:textId="77777777" w:rsidR="00854692" w:rsidRDefault="00854692" w:rsidP="00F27A90">
            <w:pPr>
              <w:pStyle w:val="NoSpacing"/>
            </w:pPr>
          </w:p>
          <w:p w14:paraId="6E02032F" w14:textId="77777777" w:rsidR="00854692" w:rsidRDefault="00854692" w:rsidP="00F27A90">
            <w:pPr>
              <w:pStyle w:val="NoSpacing"/>
            </w:pPr>
          </w:p>
          <w:p w14:paraId="5E41086D" w14:textId="77777777" w:rsidR="00854692" w:rsidRDefault="00854692" w:rsidP="00F27A90">
            <w:pPr>
              <w:pStyle w:val="NoSpacing"/>
            </w:pPr>
          </w:p>
          <w:p w14:paraId="7FED1C3A" w14:textId="77777777" w:rsidR="00854692" w:rsidRDefault="00854692" w:rsidP="00F27A90">
            <w:pPr>
              <w:pStyle w:val="NoSpacing"/>
            </w:pPr>
          </w:p>
          <w:p w14:paraId="4660ED15" w14:textId="77777777" w:rsidR="00854692" w:rsidRDefault="00854692" w:rsidP="00F27A90">
            <w:pPr>
              <w:pStyle w:val="NoSpacing"/>
            </w:pPr>
          </w:p>
          <w:p w14:paraId="0F741CF8" w14:textId="77777777" w:rsidR="00854692" w:rsidRDefault="00854692" w:rsidP="00F27A90">
            <w:pPr>
              <w:pStyle w:val="NoSpacing"/>
            </w:pPr>
          </w:p>
          <w:p w14:paraId="7487FD81" w14:textId="77777777" w:rsidR="00854692" w:rsidRDefault="00854692" w:rsidP="00F27A90">
            <w:pPr>
              <w:pStyle w:val="NoSpacing"/>
            </w:pPr>
          </w:p>
          <w:p w14:paraId="20152C89" w14:textId="77777777" w:rsidR="00854692" w:rsidRDefault="00854692" w:rsidP="00F27A90">
            <w:pPr>
              <w:pStyle w:val="NoSpacing"/>
            </w:pPr>
          </w:p>
          <w:p w14:paraId="675A422F" w14:textId="77777777" w:rsidR="00854692" w:rsidRDefault="00854692" w:rsidP="00F27A90">
            <w:pPr>
              <w:pStyle w:val="NoSpacing"/>
            </w:pPr>
          </w:p>
          <w:p w14:paraId="0CA9EAAE" w14:textId="77777777" w:rsidR="00854692" w:rsidRDefault="00854692" w:rsidP="00F27A90">
            <w:pPr>
              <w:pStyle w:val="NoSpacing"/>
            </w:pPr>
          </w:p>
          <w:p w14:paraId="6D9CD45F" w14:textId="77777777" w:rsidR="00854692" w:rsidRDefault="00854692" w:rsidP="00F27A90">
            <w:pPr>
              <w:pStyle w:val="NoSpacing"/>
            </w:pPr>
          </w:p>
          <w:p w14:paraId="348C456F" w14:textId="77777777" w:rsidR="00854692" w:rsidRDefault="00854692" w:rsidP="00F27A90">
            <w:pPr>
              <w:pStyle w:val="NoSpacing"/>
            </w:pPr>
          </w:p>
          <w:p w14:paraId="04509629" w14:textId="77777777" w:rsidR="00854692" w:rsidRDefault="00854692" w:rsidP="00F27A90">
            <w:pPr>
              <w:pStyle w:val="NoSpacing"/>
            </w:pPr>
          </w:p>
          <w:p w14:paraId="229D466A" w14:textId="77777777" w:rsidR="00854692" w:rsidRDefault="00854692" w:rsidP="00F27A90">
            <w:pPr>
              <w:pStyle w:val="NoSpacing"/>
            </w:pPr>
          </w:p>
          <w:p w14:paraId="06A307BC" w14:textId="77777777" w:rsidR="00854692" w:rsidRDefault="00854692" w:rsidP="00F27A90">
            <w:pPr>
              <w:pStyle w:val="NoSpacing"/>
            </w:pPr>
          </w:p>
          <w:p w14:paraId="376C65C1" w14:textId="77777777" w:rsidR="00854692" w:rsidRDefault="00854692" w:rsidP="00F27A90">
            <w:pPr>
              <w:pStyle w:val="NoSpacing"/>
            </w:pPr>
          </w:p>
          <w:p w14:paraId="54886844" w14:textId="77777777" w:rsidR="00854692" w:rsidRDefault="00854692" w:rsidP="00F27A90">
            <w:pPr>
              <w:pStyle w:val="NoSpacing"/>
            </w:pPr>
          </w:p>
          <w:p w14:paraId="1014D9AA" w14:textId="77777777" w:rsidR="00854692" w:rsidRDefault="00854692" w:rsidP="00F27A90">
            <w:pPr>
              <w:pStyle w:val="NoSpacing"/>
            </w:pPr>
          </w:p>
          <w:p w14:paraId="0AEF03E3" w14:textId="77777777" w:rsidR="00854692" w:rsidRDefault="00854692" w:rsidP="00F27A90">
            <w:pPr>
              <w:pStyle w:val="NoSpacing"/>
            </w:pPr>
          </w:p>
          <w:p w14:paraId="0E74C6A0" w14:textId="77777777" w:rsidR="00854692" w:rsidRDefault="00854692" w:rsidP="00F27A90">
            <w:pPr>
              <w:pStyle w:val="NoSpacing"/>
            </w:pPr>
          </w:p>
          <w:p w14:paraId="30F4B394" w14:textId="77777777" w:rsidR="00854692" w:rsidRDefault="00854692" w:rsidP="00F27A90">
            <w:pPr>
              <w:pStyle w:val="NoSpacing"/>
            </w:pPr>
          </w:p>
          <w:p w14:paraId="369A0B3C" w14:textId="77777777" w:rsidR="00854692" w:rsidRDefault="00854692" w:rsidP="00F27A90">
            <w:pPr>
              <w:pStyle w:val="NoSpacing"/>
            </w:pPr>
            <w:r>
              <w:t>Yes</w:t>
            </w:r>
          </w:p>
        </w:tc>
      </w:tr>
      <w:tr w:rsidR="00854692" w14:paraId="562CC732" w14:textId="77777777" w:rsidTr="00F27A90">
        <w:tc>
          <w:tcPr>
            <w:tcW w:w="279" w:type="dxa"/>
          </w:tcPr>
          <w:p w14:paraId="7BD6D67D" w14:textId="77777777" w:rsidR="00854692" w:rsidRDefault="00854692" w:rsidP="00F27A90">
            <w:pPr>
              <w:pStyle w:val="NoSpacing"/>
            </w:pPr>
            <w:r>
              <w:lastRenderedPageBreak/>
              <w:t>3.</w:t>
            </w:r>
          </w:p>
        </w:tc>
        <w:tc>
          <w:tcPr>
            <w:tcW w:w="2594" w:type="dxa"/>
          </w:tcPr>
          <w:p w14:paraId="7BEF8380" w14:textId="77777777" w:rsidR="00854692" w:rsidRPr="00E404B0" w:rsidRDefault="00854692" w:rsidP="00F27A90">
            <w:pPr>
              <w:pStyle w:val="NoSpacing"/>
              <w:rPr>
                <w:rFonts w:cs="Arial"/>
              </w:rPr>
            </w:pPr>
            <w:r w:rsidRPr="00E404B0">
              <w:rPr>
                <w:rFonts w:cs="Arial"/>
              </w:rPr>
              <w:t>Risk of premature diagnosis</w:t>
            </w:r>
          </w:p>
          <w:p w14:paraId="2E94BCB6" w14:textId="77777777" w:rsidR="00854692" w:rsidRDefault="00854692" w:rsidP="00F27A90">
            <w:pPr>
              <w:pStyle w:val="NoSpacing"/>
            </w:pPr>
          </w:p>
        </w:tc>
        <w:tc>
          <w:tcPr>
            <w:tcW w:w="4368" w:type="dxa"/>
          </w:tcPr>
          <w:p w14:paraId="1B186BA9" w14:textId="77777777" w:rsidR="00854692" w:rsidRDefault="00854692" w:rsidP="00F27A90">
            <w:pPr>
              <w:pStyle w:val="NoSpacing"/>
            </w:pPr>
            <w:r w:rsidRPr="0094084E">
              <w:t xml:space="preserve">It is accepted particularly where third party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w:t>
            </w:r>
            <w:r w:rsidRPr="0094084E">
              <w:lastRenderedPageBreak/>
              <w:t xml:space="preserve">correspondence from secondary care/diagnostic results from patients and the IT system does not permit the GP to configure a delay on the records being made available to the patient. As such the only </w:t>
            </w:r>
            <w:r>
              <w:t xml:space="preserve">effective </w:t>
            </w:r>
            <w:r w:rsidRPr="0094084E">
              <w:t xml:space="preserve">mitigation </w:t>
            </w:r>
            <w:r>
              <w:t>appears to be</w:t>
            </w:r>
            <w:r w:rsidRPr="0094084E">
              <w:t xml:space="preserve"> for GPs to withhold access to online patient records until the GP has properly explained this risk to the patient and the patient has provided informed consent that they accept this type of risk</w:t>
            </w:r>
            <w:r>
              <w:t xml:space="preserve"> (an opt-in process)</w:t>
            </w:r>
            <w:r w:rsidRPr="0094084E">
              <w:t xml:space="preserve"> This w</w:t>
            </w:r>
            <w:r>
              <w:t>ould</w:t>
            </w:r>
            <w:r w:rsidRPr="0094084E">
              <w:t xml:space="preserve"> allow patients to understand and manage the risks of accessing their own medical records particularly in circumstances where they have undertaken diagnostic tests for a significant illness or have a progressive disease</w:t>
            </w:r>
            <w:r>
              <w:t>.</w:t>
            </w:r>
          </w:p>
          <w:p w14:paraId="12E6E832" w14:textId="77777777" w:rsidR="00854692" w:rsidRDefault="00854692" w:rsidP="00F27A90">
            <w:pPr>
              <w:pStyle w:val="NoSpacing"/>
            </w:pPr>
          </w:p>
        </w:tc>
        <w:tc>
          <w:tcPr>
            <w:tcW w:w="3200" w:type="dxa"/>
          </w:tcPr>
          <w:p w14:paraId="3F6689AD" w14:textId="77777777" w:rsidR="00854692" w:rsidRDefault="00854692" w:rsidP="00F27A90">
            <w:pPr>
              <w:pStyle w:val="NoSpacing"/>
            </w:pPr>
            <w:r>
              <w:lastRenderedPageBreak/>
              <w:t>Reduced</w:t>
            </w:r>
          </w:p>
        </w:tc>
        <w:tc>
          <w:tcPr>
            <w:tcW w:w="2300" w:type="dxa"/>
          </w:tcPr>
          <w:p w14:paraId="5BBC7E93" w14:textId="77777777" w:rsidR="00854692" w:rsidRDefault="00854692" w:rsidP="00F27A90">
            <w:pPr>
              <w:pStyle w:val="NoSpacing"/>
            </w:pPr>
            <w:r>
              <w:t>Medium</w:t>
            </w:r>
          </w:p>
        </w:tc>
        <w:tc>
          <w:tcPr>
            <w:tcW w:w="1207" w:type="dxa"/>
          </w:tcPr>
          <w:p w14:paraId="6950A73D" w14:textId="77777777" w:rsidR="00854692" w:rsidRDefault="00854692" w:rsidP="00F27A90">
            <w:pPr>
              <w:pStyle w:val="NoSpacing"/>
            </w:pPr>
            <w:r>
              <w:t>Yes</w:t>
            </w:r>
          </w:p>
        </w:tc>
      </w:tr>
      <w:tr w:rsidR="00854692" w14:paraId="638F5453" w14:textId="77777777" w:rsidTr="00F27A90">
        <w:tc>
          <w:tcPr>
            <w:tcW w:w="279" w:type="dxa"/>
          </w:tcPr>
          <w:p w14:paraId="0EE2A28F" w14:textId="77777777" w:rsidR="00854692" w:rsidRDefault="00854692" w:rsidP="00F27A90">
            <w:pPr>
              <w:pStyle w:val="NoSpacing"/>
            </w:pPr>
            <w:r>
              <w:t>4.</w:t>
            </w:r>
          </w:p>
        </w:tc>
        <w:tc>
          <w:tcPr>
            <w:tcW w:w="2594" w:type="dxa"/>
          </w:tcPr>
          <w:p w14:paraId="2782EFD0" w14:textId="77777777" w:rsidR="00854692" w:rsidRPr="00E404B0" w:rsidRDefault="00854692" w:rsidP="00F27A90">
            <w:pPr>
              <w:pStyle w:val="NoSpacing"/>
              <w:rPr>
                <w:rFonts w:cs="Arial"/>
              </w:rPr>
            </w:pPr>
            <w:r w:rsidRPr="00E404B0">
              <w:rPr>
                <w:rFonts w:cs="Arial"/>
              </w:rPr>
              <w:t>Risk to resources</w:t>
            </w:r>
          </w:p>
          <w:p w14:paraId="6536CA50" w14:textId="77777777" w:rsidR="00854692" w:rsidRDefault="00854692" w:rsidP="00F27A90">
            <w:pPr>
              <w:pStyle w:val="NoSpacing"/>
            </w:pPr>
          </w:p>
        </w:tc>
        <w:tc>
          <w:tcPr>
            <w:tcW w:w="4368" w:type="dxa"/>
          </w:tcPr>
          <w:p w14:paraId="01FC5168" w14:textId="77777777" w:rsidR="00854692" w:rsidRPr="0094084E" w:rsidRDefault="00854692" w:rsidP="00F27A90">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47CBBD4D" w14:textId="77777777" w:rsidR="00854692" w:rsidRPr="0094084E" w:rsidRDefault="00854692" w:rsidP="00F27A90">
            <w:pPr>
              <w:pStyle w:val="NoSpacing"/>
            </w:pPr>
            <w:r w:rsidRPr="0094084E">
              <w:t xml:space="preserve"> </w:t>
            </w:r>
          </w:p>
          <w:p w14:paraId="6E2A077E" w14:textId="77777777" w:rsidR="00854692" w:rsidRDefault="00854692" w:rsidP="00F27A90">
            <w:pPr>
              <w:pStyle w:val="NoSpacing"/>
            </w:pPr>
            <w:r>
              <w:t xml:space="preserve">2. </w:t>
            </w:r>
            <w:r w:rsidRPr="0094084E">
              <w:t xml:space="preserve">The only mitigation is to not provide online access for those who may be triggered or at risk of serious harm by </w:t>
            </w:r>
            <w:r w:rsidRPr="0094084E">
              <w:lastRenderedPageBreak/>
              <w:t xml:space="preserve">viewing clinical documents without explanation from a GP. </w:t>
            </w:r>
          </w:p>
          <w:p w14:paraId="5D6E596B" w14:textId="77777777" w:rsidR="00854692" w:rsidRDefault="00854692" w:rsidP="00F27A90">
            <w:pPr>
              <w:pStyle w:val="NoSpacing"/>
            </w:pPr>
          </w:p>
          <w:p w14:paraId="6D694665" w14:textId="77777777" w:rsidR="00854692" w:rsidRDefault="00854692" w:rsidP="00F27A90">
            <w:pPr>
              <w:pStyle w:val="NoSpacing"/>
            </w:pPr>
            <w:r>
              <w:t xml:space="preserve">3. </w:t>
            </w:r>
            <w:r w:rsidRPr="0094084E">
              <w:t xml:space="preserve">There is no mitigation step </w:t>
            </w:r>
            <w:proofErr w:type="gramStart"/>
            <w:r w:rsidRPr="0094084E">
              <w:t>in order for</w:t>
            </w:r>
            <w:proofErr w:type="gramEnd"/>
            <w:r w:rsidRPr="0094084E">
              <w:t xml:space="preserve"> GPs to comply with their obligations under the DPA. Additional time will need to be devoted to dealing with redactions</w:t>
            </w:r>
            <w:r>
              <w:t xml:space="preserve">. </w:t>
            </w:r>
          </w:p>
          <w:p w14:paraId="7ABE7970" w14:textId="77777777" w:rsidR="00854692" w:rsidRDefault="00854692" w:rsidP="00F27A90">
            <w:pPr>
              <w:pStyle w:val="NoSpacing"/>
            </w:pPr>
          </w:p>
        </w:tc>
        <w:tc>
          <w:tcPr>
            <w:tcW w:w="3200" w:type="dxa"/>
          </w:tcPr>
          <w:p w14:paraId="7845BB7D" w14:textId="77777777" w:rsidR="00854692" w:rsidRDefault="00854692" w:rsidP="00F27A90">
            <w:pPr>
              <w:pStyle w:val="NoSpacing"/>
            </w:pPr>
            <w:r>
              <w:lastRenderedPageBreak/>
              <w:t>Not reduced</w:t>
            </w:r>
          </w:p>
        </w:tc>
        <w:tc>
          <w:tcPr>
            <w:tcW w:w="2300" w:type="dxa"/>
          </w:tcPr>
          <w:p w14:paraId="2636A9B7" w14:textId="77777777" w:rsidR="00854692" w:rsidRDefault="00854692" w:rsidP="00F27A90">
            <w:pPr>
              <w:pStyle w:val="NoSpacing"/>
            </w:pPr>
            <w:r>
              <w:t>High</w:t>
            </w:r>
          </w:p>
        </w:tc>
        <w:tc>
          <w:tcPr>
            <w:tcW w:w="1207" w:type="dxa"/>
          </w:tcPr>
          <w:p w14:paraId="1A199C56" w14:textId="77777777" w:rsidR="00854692" w:rsidRDefault="00854692" w:rsidP="00F27A90">
            <w:pPr>
              <w:pStyle w:val="NoSpacing"/>
            </w:pPr>
            <w:r>
              <w:t>No effective mitigation</w:t>
            </w:r>
          </w:p>
        </w:tc>
      </w:tr>
      <w:tr w:rsidR="00854692" w14:paraId="255BDC65" w14:textId="77777777" w:rsidTr="00F27A90">
        <w:tc>
          <w:tcPr>
            <w:tcW w:w="279" w:type="dxa"/>
          </w:tcPr>
          <w:p w14:paraId="0CA2E021" w14:textId="77777777" w:rsidR="00854692" w:rsidRDefault="00854692" w:rsidP="00F27A90">
            <w:pPr>
              <w:pStyle w:val="NoSpacing"/>
            </w:pPr>
            <w:r>
              <w:t xml:space="preserve">5. </w:t>
            </w:r>
          </w:p>
        </w:tc>
        <w:tc>
          <w:tcPr>
            <w:tcW w:w="2594" w:type="dxa"/>
          </w:tcPr>
          <w:p w14:paraId="5F7CFBA6" w14:textId="77777777" w:rsidR="00854692" w:rsidRDefault="00854692" w:rsidP="00F27A90">
            <w:pPr>
              <w:pStyle w:val="NoSpacing"/>
              <w:rPr>
                <w:rFonts w:cs="Arial"/>
              </w:rPr>
            </w:pPr>
            <w:r w:rsidRPr="00E404B0">
              <w:rPr>
                <w:rFonts w:cs="Arial"/>
              </w:rPr>
              <w:t xml:space="preserve">Risk that the IT infrastructure is not </w:t>
            </w:r>
            <w:proofErr w:type="gramStart"/>
            <w:r w:rsidRPr="00E404B0">
              <w:rPr>
                <w:rFonts w:cs="Arial"/>
              </w:rPr>
              <w:t>secure</w:t>
            </w:r>
            <w:proofErr w:type="gramEnd"/>
          </w:p>
          <w:p w14:paraId="58CEE8D8" w14:textId="77777777" w:rsidR="00854692" w:rsidRPr="00E404B0" w:rsidRDefault="00854692" w:rsidP="00F27A90">
            <w:pPr>
              <w:pStyle w:val="NoSpacing"/>
            </w:pPr>
          </w:p>
        </w:tc>
        <w:tc>
          <w:tcPr>
            <w:tcW w:w="4368" w:type="dxa"/>
          </w:tcPr>
          <w:p w14:paraId="14C782A2" w14:textId="77777777" w:rsidR="00854692" w:rsidRDefault="00854692" w:rsidP="00F27A90">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data is secure, the only mitigation step available is to restrict access to all patients as this eliminates the risk of malicious </w:t>
            </w:r>
            <w:proofErr w:type="gramStart"/>
            <w:r w:rsidRPr="005154CB">
              <w:t>third party</w:t>
            </w:r>
            <w:proofErr w:type="gramEnd"/>
            <w:r w:rsidRPr="005154CB">
              <w:t xml:space="preserve"> actors obtaining information by this means</w:t>
            </w:r>
            <w:r>
              <w:t xml:space="preserve">. </w:t>
            </w:r>
          </w:p>
          <w:p w14:paraId="44EB445D" w14:textId="77777777" w:rsidR="00854692" w:rsidRDefault="00854692" w:rsidP="00F27A90">
            <w:pPr>
              <w:pStyle w:val="NoSpacing"/>
            </w:pPr>
          </w:p>
        </w:tc>
        <w:tc>
          <w:tcPr>
            <w:tcW w:w="3200" w:type="dxa"/>
          </w:tcPr>
          <w:p w14:paraId="10AA7084" w14:textId="77777777" w:rsidR="00854692" w:rsidRDefault="00854692" w:rsidP="00F27A90">
            <w:pPr>
              <w:pStyle w:val="NoSpacing"/>
            </w:pPr>
            <w:r>
              <w:t>Eliminated</w:t>
            </w:r>
          </w:p>
        </w:tc>
        <w:tc>
          <w:tcPr>
            <w:tcW w:w="2300" w:type="dxa"/>
          </w:tcPr>
          <w:p w14:paraId="75AB2B6D" w14:textId="77777777" w:rsidR="00854692" w:rsidRDefault="00854692" w:rsidP="00F27A90">
            <w:pPr>
              <w:pStyle w:val="NoSpacing"/>
            </w:pPr>
            <w:r>
              <w:t>Low</w:t>
            </w:r>
          </w:p>
        </w:tc>
        <w:tc>
          <w:tcPr>
            <w:tcW w:w="1207" w:type="dxa"/>
          </w:tcPr>
          <w:p w14:paraId="42ADECA2" w14:textId="77777777" w:rsidR="00854692" w:rsidRDefault="00854692" w:rsidP="00F27A90">
            <w:pPr>
              <w:pStyle w:val="NoSpacing"/>
            </w:pPr>
            <w:r>
              <w:t>Yes</w:t>
            </w:r>
          </w:p>
        </w:tc>
      </w:tr>
      <w:tr w:rsidR="00854692" w14:paraId="464B4AA3" w14:textId="77777777" w:rsidTr="00F27A90">
        <w:tc>
          <w:tcPr>
            <w:tcW w:w="279" w:type="dxa"/>
          </w:tcPr>
          <w:p w14:paraId="5022C47D" w14:textId="77777777" w:rsidR="00854692" w:rsidRDefault="00854692" w:rsidP="00F27A90">
            <w:pPr>
              <w:pStyle w:val="NoSpacing"/>
            </w:pPr>
            <w:r>
              <w:t>[6.]</w:t>
            </w:r>
          </w:p>
        </w:tc>
        <w:tc>
          <w:tcPr>
            <w:tcW w:w="2594" w:type="dxa"/>
          </w:tcPr>
          <w:p w14:paraId="60D8D948" w14:textId="77777777" w:rsidR="00854692" w:rsidRDefault="00854692" w:rsidP="00F27A90">
            <w:pPr>
              <w:pStyle w:val="NoSpacing"/>
              <w:rPr>
                <w:rFonts w:cs="Arial"/>
                <w:u w:val="single"/>
              </w:rPr>
            </w:pPr>
            <w:r w:rsidRPr="00E404B0">
              <w:rPr>
                <w:rFonts w:cs="Arial"/>
              </w:rPr>
              <w:t>[Capability of redaction software]</w:t>
            </w:r>
          </w:p>
        </w:tc>
        <w:tc>
          <w:tcPr>
            <w:tcW w:w="4368" w:type="dxa"/>
          </w:tcPr>
          <w:p w14:paraId="7A14923E" w14:textId="77777777" w:rsidR="00854692" w:rsidRDefault="00854692" w:rsidP="00F27A90">
            <w:pPr>
              <w:pStyle w:val="NoSpacing"/>
            </w:pPr>
            <w:r>
              <w:t xml:space="preserve">[1. </w:t>
            </w:r>
            <w:r w:rsidRPr="00E404B0">
              <w:t xml:space="preserve">Where a document includes clinically important information, a separate copy of the document should be created, saved to the patient record, and the unredacted version of the documents should be hidden from patient view. </w:t>
            </w:r>
          </w:p>
          <w:p w14:paraId="023B54BB" w14:textId="77777777" w:rsidR="00854692" w:rsidRDefault="00854692" w:rsidP="00F27A90">
            <w:pPr>
              <w:pStyle w:val="NoSpacing"/>
            </w:pPr>
          </w:p>
          <w:p w14:paraId="392E3551" w14:textId="77777777" w:rsidR="00854692" w:rsidRDefault="00854692" w:rsidP="00F27A90">
            <w:pPr>
              <w:pStyle w:val="NoSpacing"/>
            </w:pPr>
            <w:r w:rsidRPr="00E404B0">
              <w:t>2. Clinicians should make the redaction and make a copy - see above.</w:t>
            </w:r>
          </w:p>
          <w:p w14:paraId="3CC044C9" w14:textId="77777777" w:rsidR="00854692" w:rsidRPr="00E404B0" w:rsidRDefault="00854692" w:rsidP="00F27A90">
            <w:pPr>
              <w:pStyle w:val="NoSpacing"/>
            </w:pPr>
          </w:p>
          <w:p w14:paraId="371BB421" w14:textId="77777777" w:rsidR="00854692" w:rsidRDefault="00854692" w:rsidP="00F27A90">
            <w:pPr>
              <w:pStyle w:val="NoSpacing"/>
            </w:pPr>
            <w:r w:rsidRPr="00E404B0">
              <w:t xml:space="preserve">Necessary redactions may inadvertently be missed, given the resource pressures on GPs and their staff, the daily number of documents to be reviewed along with </w:t>
            </w:r>
            <w:r w:rsidRPr="00E404B0">
              <w:lastRenderedPageBreak/>
              <w:t>patient interactions. No system can be completely without error and there are no mitigations which can fully protect third parties</w:t>
            </w:r>
            <w:r>
              <w:t xml:space="preserve">.] </w:t>
            </w:r>
          </w:p>
          <w:p w14:paraId="3CDA190D" w14:textId="77777777" w:rsidR="00854692" w:rsidRDefault="00854692" w:rsidP="00F27A90">
            <w:pPr>
              <w:pStyle w:val="NoSpacing"/>
            </w:pPr>
          </w:p>
        </w:tc>
        <w:tc>
          <w:tcPr>
            <w:tcW w:w="3200" w:type="dxa"/>
          </w:tcPr>
          <w:p w14:paraId="15FFD101" w14:textId="77777777" w:rsidR="00854692" w:rsidRDefault="00854692" w:rsidP="00F27A90">
            <w:pPr>
              <w:pStyle w:val="NoSpacing"/>
            </w:pPr>
            <w:r>
              <w:lastRenderedPageBreak/>
              <w:t>Eliminated</w:t>
            </w:r>
          </w:p>
          <w:p w14:paraId="1201DF92" w14:textId="77777777" w:rsidR="00854692" w:rsidRDefault="00854692" w:rsidP="00F27A90">
            <w:pPr>
              <w:pStyle w:val="NoSpacing"/>
            </w:pPr>
          </w:p>
          <w:p w14:paraId="6CEA8D19" w14:textId="77777777" w:rsidR="00854692" w:rsidRDefault="00854692" w:rsidP="00F27A90">
            <w:pPr>
              <w:pStyle w:val="NoSpacing"/>
            </w:pPr>
          </w:p>
          <w:p w14:paraId="7D33E699" w14:textId="77777777" w:rsidR="00854692" w:rsidRDefault="00854692" w:rsidP="00F27A90">
            <w:pPr>
              <w:pStyle w:val="NoSpacing"/>
            </w:pPr>
          </w:p>
          <w:p w14:paraId="4B2278C9" w14:textId="77777777" w:rsidR="00854692" w:rsidRDefault="00854692" w:rsidP="00F27A90">
            <w:pPr>
              <w:pStyle w:val="NoSpacing"/>
            </w:pPr>
          </w:p>
          <w:p w14:paraId="0480A4F1" w14:textId="77777777" w:rsidR="00854692" w:rsidRDefault="00854692" w:rsidP="00F27A90">
            <w:pPr>
              <w:pStyle w:val="NoSpacing"/>
            </w:pPr>
          </w:p>
          <w:p w14:paraId="564476EF" w14:textId="77777777" w:rsidR="00854692" w:rsidRDefault="00854692" w:rsidP="00F27A90">
            <w:pPr>
              <w:pStyle w:val="NoSpacing"/>
            </w:pPr>
          </w:p>
          <w:p w14:paraId="1B93904F" w14:textId="77777777" w:rsidR="00854692" w:rsidRDefault="00854692" w:rsidP="00F27A90">
            <w:pPr>
              <w:pStyle w:val="NoSpacing"/>
            </w:pPr>
            <w:r>
              <w:t>Accepted</w:t>
            </w:r>
          </w:p>
        </w:tc>
        <w:tc>
          <w:tcPr>
            <w:tcW w:w="2300" w:type="dxa"/>
          </w:tcPr>
          <w:p w14:paraId="0713E63E" w14:textId="77777777" w:rsidR="00854692" w:rsidRDefault="00854692" w:rsidP="00F27A90">
            <w:pPr>
              <w:pStyle w:val="NoSpacing"/>
            </w:pPr>
            <w:r>
              <w:t>Low</w:t>
            </w:r>
          </w:p>
          <w:p w14:paraId="21748D33" w14:textId="77777777" w:rsidR="00854692" w:rsidRDefault="00854692" w:rsidP="00F27A90">
            <w:pPr>
              <w:pStyle w:val="NoSpacing"/>
            </w:pPr>
          </w:p>
          <w:p w14:paraId="0F59AB9B" w14:textId="77777777" w:rsidR="00854692" w:rsidRDefault="00854692" w:rsidP="00F27A90">
            <w:pPr>
              <w:pStyle w:val="NoSpacing"/>
            </w:pPr>
          </w:p>
          <w:p w14:paraId="7E19171F" w14:textId="77777777" w:rsidR="00854692" w:rsidRDefault="00854692" w:rsidP="00F27A90">
            <w:pPr>
              <w:pStyle w:val="NoSpacing"/>
            </w:pPr>
          </w:p>
          <w:p w14:paraId="2398FAD9" w14:textId="77777777" w:rsidR="00854692" w:rsidRDefault="00854692" w:rsidP="00F27A90">
            <w:pPr>
              <w:pStyle w:val="NoSpacing"/>
            </w:pPr>
          </w:p>
          <w:p w14:paraId="3EDC109A" w14:textId="77777777" w:rsidR="00854692" w:rsidRDefault="00854692" w:rsidP="00F27A90">
            <w:pPr>
              <w:pStyle w:val="NoSpacing"/>
            </w:pPr>
          </w:p>
          <w:p w14:paraId="1B75BF83" w14:textId="77777777" w:rsidR="00854692" w:rsidRDefault="00854692" w:rsidP="00F27A90">
            <w:pPr>
              <w:pStyle w:val="NoSpacing"/>
            </w:pPr>
          </w:p>
          <w:p w14:paraId="0F40B6B8" w14:textId="77777777" w:rsidR="00854692" w:rsidRDefault="00854692" w:rsidP="00F27A90">
            <w:pPr>
              <w:pStyle w:val="NoSpacing"/>
            </w:pPr>
            <w:r>
              <w:t>Low</w:t>
            </w:r>
          </w:p>
        </w:tc>
        <w:tc>
          <w:tcPr>
            <w:tcW w:w="1207" w:type="dxa"/>
          </w:tcPr>
          <w:p w14:paraId="40AE782D" w14:textId="77777777" w:rsidR="00854692" w:rsidRDefault="00854692" w:rsidP="00F27A90">
            <w:pPr>
              <w:pStyle w:val="NoSpacing"/>
            </w:pPr>
            <w:r>
              <w:t>Yes</w:t>
            </w:r>
          </w:p>
          <w:p w14:paraId="00452D32" w14:textId="77777777" w:rsidR="00854692" w:rsidRDefault="00854692" w:rsidP="00F27A90">
            <w:pPr>
              <w:pStyle w:val="NoSpacing"/>
            </w:pPr>
          </w:p>
          <w:p w14:paraId="78E37847" w14:textId="77777777" w:rsidR="00854692" w:rsidRDefault="00854692" w:rsidP="00F27A90">
            <w:pPr>
              <w:pStyle w:val="NoSpacing"/>
            </w:pPr>
          </w:p>
          <w:p w14:paraId="498A46F0" w14:textId="77777777" w:rsidR="00854692" w:rsidRDefault="00854692" w:rsidP="00F27A90">
            <w:pPr>
              <w:pStyle w:val="NoSpacing"/>
            </w:pPr>
          </w:p>
          <w:p w14:paraId="58D032E3" w14:textId="77777777" w:rsidR="00854692" w:rsidRDefault="00854692" w:rsidP="00F27A90">
            <w:pPr>
              <w:pStyle w:val="NoSpacing"/>
            </w:pPr>
          </w:p>
          <w:p w14:paraId="463D162A" w14:textId="77777777" w:rsidR="00854692" w:rsidRDefault="00854692" w:rsidP="00F27A90">
            <w:pPr>
              <w:pStyle w:val="NoSpacing"/>
            </w:pPr>
          </w:p>
          <w:p w14:paraId="30883215" w14:textId="77777777" w:rsidR="00854692" w:rsidRDefault="00854692" w:rsidP="00F27A90">
            <w:pPr>
              <w:pStyle w:val="NoSpacing"/>
            </w:pPr>
          </w:p>
          <w:p w14:paraId="73F62DE3" w14:textId="77777777" w:rsidR="00854692" w:rsidRDefault="00854692" w:rsidP="00F27A90">
            <w:pPr>
              <w:pStyle w:val="NoSpacing"/>
            </w:pPr>
            <w:r>
              <w:t>Yes</w:t>
            </w:r>
          </w:p>
        </w:tc>
      </w:tr>
    </w:tbl>
    <w:p w14:paraId="6995FE0D" w14:textId="77777777" w:rsidR="00854692" w:rsidRDefault="00854692"/>
    <w:p w14:paraId="392B1032" w14:textId="77777777" w:rsidR="00854692" w:rsidRDefault="00854692"/>
    <w:sectPr w:rsidR="00854692" w:rsidSect="008546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900841">
    <w:abstractNumId w:val="3"/>
  </w:num>
  <w:num w:numId="2" w16cid:durableId="1573081895">
    <w:abstractNumId w:val="0"/>
  </w:num>
  <w:num w:numId="3" w16cid:durableId="216010218">
    <w:abstractNumId w:val="1"/>
  </w:num>
  <w:num w:numId="4" w16cid:durableId="1533348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92"/>
    <w:rsid w:val="002F1F4A"/>
    <w:rsid w:val="004D0CCB"/>
    <w:rsid w:val="0060226B"/>
    <w:rsid w:val="007459B3"/>
    <w:rsid w:val="00854692"/>
    <w:rsid w:val="00E01DBE"/>
    <w:rsid w:val="00EF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5C5"/>
  <w15:chartTrackingRefBased/>
  <w15:docId w15:val="{9B6E0A60-1BDF-694B-AA24-965005FD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692"/>
    <w:rPr>
      <w:rFonts w:ascii="Arial" w:hAnsi="Arial"/>
      <w:kern w:val="0"/>
      <w:sz w:val="22"/>
      <w:szCs w:val="22"/>
      <w14:ligatures w14:val="none"/>
    </w:rPr>
  </w:style>
  <w:style w:type="paragraph" w:styleId="ListParagraph">
    <w:name w:val="List Paragraph"/>
    <w:basedOn w:val="Normal"/>
    <w:uiPriority w:val="34"/>
    <w:qFormat/>
    <w:rsid w:val="00854692"/>
    <w:pPr>
      <w:spacing w:after="240" w:line="276" w:lineRule="auto"/>
      <w:ind w:left="720"/>
      <w:contextualSpacing/>
    </w:pPr>
    <w:rPr>
      <w:rFonts w:ascii="Arial" w:hAnsi="Arial"/>
      <w:kern w:val="0"/>
      <w:sz w:val="22"/>
      <w:szCs w:val="22"/>
      <w14:ligatures w14:val="none"/>
    </w:rPr>
  </w:style>
  <w:style w:type="table" w:styleId="TableGrid">
    <w:name w:val="Table Grid"/>
    <w:basedOn w:val="TableNormal"/>
    <w:uiPriority w:val="59"/>
    <w:rsid w:val="0085469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54692"/>
    <w:rPr>
      <w:rFonts w:ascii="Segoe UI" w:hAnsi="Segoe UI" w:cs="Segoe UI" w:hint="default"/>
      <w:sz w:val="18"/>
      <w:szCs w:val="18"/>
    </w:rPr>
  </w:style>
  <w:style w:type="character" w:customStyle="1" w:styleId="cf11">
    <w:name w:val="cf11"/>
    <w:basedOn w:val="DefaultParagraphFont"/>
    <w:rsid w:val="00854692"/>
    <w:rPr>
      <w:rFonts w:ascii="Segoe UI" w:hAnsi="Segoe UI" w:cs="Segoe UI" w:hint="default"/>
      <w:b/>
      <w:bCs/>
      <w:sz w:val="18"/>
      <w:szCs w:val="18"/>
    </w:rPr>
  </w:style>
  <w:style w:type="character" w:styleId="Hyperlink">
    <w:name w:val="Hyperlink"/>
    <w:basedOn w:val="DefaultParagraphFont"/>
    <w:uiPriority w:val="99"/>
    <w:unhideWhenUsed/>
    <w:rsid w:val="00E01DBE"/>
    <w:rPr>
      <w:color w:val="0563C1" w:themeColor="hyperlink"/>
      <w:u w:val="single"/>
    </w:rPr>
  </w:style>
  <w:style w:type="character" w:styleId="UnresolvedMention">
    <w:name w:val="Unresolved Mention"/>
    <w:basedOn w:val="DefaultParagraphFont"/>
    <w:uiPriority w:val="99"/>
    <w:semiHidden/>
    <w:unhideWhenUsed/>
    <w:rsid w:val="00E0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mc.co.uk/patients-accessing-the-gp-electronic-health-record-and-understanding-the-haughton-thornley-medical-centres-way/" TargetMode="External"/><Relationship Id="rId13" Type="http://schemas.openxmlformats.org/officeDocument/2006/relationships/hyperlink" Target="https://ico.org.uk/for-organisations/uk-gdpr-guidance-and-resources/controllers-and-processors/controllers-and-processors/what-does-it-mean-if-you-are-a-controller/" TargetMode="External"/><Relationship Id="rId3" Type="http://schemas.openxmlformats.org/officeDocument/2006/relationships/settings" Target="settings.xml"/><Relationship Id="rId7" Type="http://schemas.openxmlformats.org/officeDocument/2006/relationships/hyperlink" Target="https://www.htmc.co.uk/over-16000-questionnaires-done-for-records-access-and-understanding/" TargetMode="External"/><Relationship Id="rId12" Type="http://schemas.openxmlformats.org/officeDocument/2006/relationships/hyperlink" Target="https://www.htmc.co.uk/do-you-want-to-see-what-your-doctor-or-nurse-has-written-about-you-or-check-your-gp-electronic-health-recor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tmc.co.uk/do-you-want-to-see-what-your-doctor-or-nurse-has-written-about-you-or-check-your-gp-electronic-health-record-2/how-many-have-signed-up-for-full-records-access-and-understanding/" TargetMode="External"/><Relationship Id="rId11" Type="http://schemas.openxmlformats.org/officeDocument/2006/relationships/hyperlink" Target="https://digital.nhs.uk/services/nhs-app/nhs-app-guidance-for-gp-practices/guidance-on-nhs-app-features/accelerating-patient-access-to-their-record/update-from-nhs-england" TargetMode="External"/><Relationship Id="rId5" Type="http://schemas.openxmlformats.org/officeDocument/2006/relationships/hyperlink" Target="https://www.htmc.co.uk/responsible-sharing/" TargetMode="External"/><Relationship Id="rId15" Type="http://schemas.openxmlformats.org/officeDocument/2006/relationships/theme" Target="theme/theme1.xml"/><Relationship Id="rId10" Type="http://schemas.openxmlformats.org/officeDocument/2006/relationships/hyperlink" Target="https://youtu.be/VS1R-xCr5L8" TargetMode="External"/><Relationship Id="rId4" Type="http://schemas.openxmlformats.org/officeDocument/2006/relationships/webSettings" Target="webSettings.xml"/><Relationship Id="rId9" Type="http://schemas.openxmlformats.org/officeDocument/2006/relationships/hyperlink" Target="https://digital.nhs.uk/services/nhs-app/nhs-app-guidance-for-gp-practices/guidance-on-nhs-app-features/online-access-to-gp-health-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Hannan</dc:creator>
  <cp:keywords/>
  <dc:description/>
  <cp:lastModifiedBy>tim horsburgh</cp:lastModifiedBy>
  <cp:revision>2</cp:revision>
  <dcterms:created xsi:type="dcterms:W3CDTF">2023-10-16T07:51:00Z</dcterms:created>
  <dcterms:modified xsi:type="dcterms:W3CDTF">2023-10-16T07:51:00Z</dcterms:modified>
</cp:coreProperties>
</file>