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07" w:rsidRPr="00430B07" w:rsidRDefault="00430B07" w:rsidP="00430B07">
      <w:pPr>
        <w:spacing w:after="0" w:line="240" w:lineRule="auto"/>
        <w:jc w:val="center"/>
        <w:rPr>
          <w:rFonts w:ascii="Calibri" w:eastAsia="Times New Roman" w:hAnsi="Calibri" w:cs="Times New Roman"/>
          <w:b/>
          <w:sz w:val="24"/>
          <w:szCs w:val="24"/>
          <w:lang w:eastAsia="en-GB"/>
        </w:rPr>
      </w:pPr>
      <w:r w:rsidRPr="00430B07">
        <w:rPr>
          <w:rFonts w:ascii="Calibri" w:eastAsia="Times New Roman" w:hAnsi="Calibri" w:cs="Times New Roman"/>
          <w:b/>
          <w:sz w:val="24"/>
          <w:szCs w:val="24"/>
          <w:lang w:eastAsia="en-GB"/>
        </w:rPr>
        <w:t>Dudley Local Medical Committee</w:t>
      </w:r>
    </w:p>
    <w:p w:rsidR="00430B07" w:rsidRDefault="00430B07" w:rsidP="00430B07">
      <w:pPr>
        <w:spacing w:after="0" w:line="240" w:lineRule="auto"/>
        <w:rPr>
          <w:rFonts w:ascii="Calibri" w:eastAsia="Times New Roman" w:hAnsi="Calibri" w:cs="Times New Roman"/>
          <w:sz w:val="24"/>
          <w:szCs w:val="24"/>
          <w:lang w:eastAsia="en-GB"/>
        </w:rPr>
      </w:pPr>
    </w:p>
    <w:p w:rsidR="00430B07" w:rsidRDefault="00430B07" w:rsidP="00430B07">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2/11/22</w:t>
      </w:r>
    </w:p>
    <w:p w:rsidR="00430B07" w:rsidRDefault="00430B07" w:rsidP="00430B07">
      <w:pPr>
        <w:spacing w:after="0" w:line="240" w:lineRule="auto"/>
        <w:rPr>
          <w:rFonts w:ascii="Calibri" w:eastAsia="Times New Roman" w:hAnsi="Calibri" w:cs="Times New Roman"/>
          <w:sz w:val="24"/>
          <w:szCs w:val="24"/>
          <w:lang w:eastAsia="en-GB"/>
        </w:rPr>
      </w:pPr>
    </w:p>
    <w:p w:rsidR="00430B07" w:rsidRDefault="00430B07" w:rsidP="00430B07">
      <w:pPr>
        <w:spacing w:after="0" w:line="240" w:lineRule="auto"/>
        <w:rPr>
          <w:rFonts w:ascii="Calibri" w:eastAsia="Times New Roman" w:hAnsi="Calibri" w:cs="Times New Roman"/>
          <w:sz w:val="24"/>
          <w:szCs w:val="24"/>
          <w:lang w:eastAsia="en-GB"/>
        </w:rPr>
      </w:pPr>
      <w:bookmarkStart w:id="0" w:name="_GoBack"/>
      <w:bookmarkEnd w:id="0"/>
    </w:p>
    <w:p w:rsidR="00430B07" w:rsidRPr="00430B07" w:rsidRDefault="00430B07" w:rsidP="00430B07">
      <w:pPr>
        <w:spacing w:after="0" w:line="240" w:lineRule="auto"/>
        <w:rPr>
          <w:rFonts w:ascii="Times New Roman" w:eastAsia="Times New Roman" w:hAnsi="Times New Roman" w:cs="Times New Roman"/>
          <w:sz w:val="24"/>
          <w:szCs w:val="24"/>
          <w:lang w:eastAsia="en-GB"/>
        </w:rPr>
      </w:pPr>
      <w:r w:rsidRPr="00430B07">
        <w:rPr>
          <w:rFonts w:ascii="Calibri" w:eastAsia="Times New Roman" w:hAnsi="Calibri" w:cs="Times New Roman"/>
          <w:sz w:val="24"/>
          <w:szCs w:val="24"/>
          <w:lang w:eastAsia="en-GB"/>
        </w:rPr>
        <w:t>Dear Colleagues,</w:t>
      </w:r>
    </w:p>
    <w:p w:rsidR="00430B07" w:rsidRPr="00430B07" w:rsidRDefault="00430B07" w:rsidP="00430B07">
      <w:pPr>
        <w:spacing w:after="0" w:line="240" w:lineRule="auto"/>
        <w:rPr>
          <w:rFonts w:ascii="Times New Roman" w:eastAsia="Times New Roman" w:hAnsi="Times New Roman" w:cs="Times New Roman"/>
          <w:sz w:val="24"/>
          <w:szCs w:val="24"/>
          <w:lang w:eastAsia="en-GB"/>
        </w:rPr>
      </w:pP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Body" w:eastAsia="Times New Roman" w:hAnsi="UICTFontTextStyleBody" w:cs="Times New Roman"/>
          <w:color w:val="212121"/>
          <w:sz w:val="26"/>
          <w:szCs w:val="26"/>
          <w:lang w:eastAsia="en-GB"/>
        </w:rPr>
        <w:t>At 18:16 this evening, NHSE published the following response to Prospective Access to Citizens’ Records:</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hyperlink r:id="rId5" w:tgtFrame="_blank" w:history="1">
        <w:r w:rsidRPr="00430B07">
          <w:rPr>
            <w:rFonts w:ascii="UICTFontTextStyleBody" w:eastAsia="Times New Roman" w:hAnsi="UICTFontTextStyleBody" w:cs="Times New Roman"/>
            <w:color w:val="0078D4"/>
            <w:sz w:val="26"/>
            <w:szCs w:val="26"/>
            <w:u w:val="single"/>
            <w:lang w:eastAsia="en-GB"/>
          </w:rPr>
          <w:t>https://digital.nhs.uk/services/nhs-app/nhs-app-guidance-for-gp-practices/guidance-on-nhs-app-features/accelerating-patient-access-to-their-record/update-from-nhs-england</w:t>
        </w:r>
      </w:hyperlink>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Body" w:eastAsia="Times New Roman" w:hAnsi="UICTFontTextStyleBody" w:cs="Times New Roman"/>
          <w:color w:val="212121"/>
          <w:sz w:val="26"/>
          <w:szCs w:val="26"/>
          <w:lang w:eastAsia="en-GB"/>
        </w:rPr>
        <w:t>In particular, please note the following in this guidance:</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EmphasizedBody" w:eastAsia="Times New Roman" w:hAnsi="UICTFontTextStyleEmphasizedBody" w:cs="Times New Roman"/>
          <w:b/>
          <w:bCs/>
          <w:color w:val="212121"/>
          <w:sz w:val="26"/>
          <w:szCs w:val="26"/>
          <w:lang w:eastAsia="en-GB"/>
        </w:rPr>
        <w:t>For those practices that ask EMIS and TPP by </w:t>
      </w:r>
      <w:r w:rsidRPr="00430B07">
        <w:rPr>
          <w:rFonts w:ascii="UICTFontTextStyleEmphasizedBody" w:eastAsia="Times New Roman" w:hAnsi="UICTFontTextStyleEmphasizedBody" w:cs="Times New Roman"/>
          <w:b/>
          <w:bCs/>
          <w:color w:val="212121"/>
          <w:sz w:val="26"/>
          <w:szCs w:val="26"/>
          <w:u w:val="single"/>
          <w:lang w:eastAsia="en-GB"/>
        </w:rPr>
        <w:t>5pm on 4 November 2022</w:t>
      </w:r>
      <w:r w:rsidRPr="00430B07">
        <w:rPr>
          <w:rFonts w:ascii="UICTFontTextStyleEmphasizedBody" w:eastAsia="Times New Roman" w:hAnsi="UICTFontTextStyleEmphasizedBody" w:cs="Times New Roman"/>
          <w:b/>
          <w:bCs/>
          <w:color w:val="212121"/>
          <w:sz w:val="26"/>
          <w:szCs w:val="26"/>
          <w:lang w:eastAsia="en-GB"/>
        </w:rPr>
        <w:t> to not enable the change</w:t>
      </w:r>
      <w:r w:rsidRPr="00430B07">
        <w:rPr>
          <w:rFonts w:ascii="UICTFontTextStyleBody" w:eastAsia="Times New Roman" w:hAnsi="UICTFontTextStyleBody" w:cs="Times New Roman"/>
          <w:color w:val="212121"/>
          <w:sz w:val="26"/>
          <w:szCs w:val="26"/>
          <w:lang w:eastAsia="en-GB"/>
        </w:rPr>
        <w:t> we have instructed both suppliers to pause. These practices must use this time to engage with their local commissioners should they need additional support and agree plans to prepare </w:t>
      </w:r>
      <w:r w:rsidRPr="00430B07">
        <w:rPr>
          <w:rFonts w:ascii="UICTFontTextStyleItalicBody" w:eastAsia="Times New Roman" w:hAnsi="UICTFontTextStyleItalicBody" w:cs="Times New Roman"/>
          <w:i/>
          <w:iCs/>
          <w:color w:val="212121"/>
          <w:sz w:val="26"/>
          <w:szCs w:val="26"/>
          <w:u w:val="single"/>
          <w:lang w:eastAsia="en-GB"/>
        </w:rPr>
        <w:t xml:space="preserve">before their systems are automatically </w:t>
      </w:r>
      <w:proofErr w:type="gramStart"/>
      <w:r w:rsidRPr="00430B07">
        <w:rPr>
          <w:rFonts w:ascii="UICTFontTextStyleItalicBody" w:eastAsia="Times New Roman" w:hAnsi="UICTFontTextStyleItalicBody" w:cs="Times New Roman"/>
          <w:i/>
          <w:iCs/>
          <w:color w:val="212121"/>
          <w:sz w:val="26"/>
          <w:szCs w:val="26"/>
          <w:u w:val="single"/>
          <w:lang w:eastAsia="en-GB"/>
        </w:rPr>
        <w:t>enabled</w:t>
      </w:r>
      <w:proofErr w:type="gramEnd"/>
      <w:r w:rsidRPr="00430B07">
        <w:rPr>
          <w:rFonts w:ascii="UICTFontTextStyleItalicBody" w:eastAsia="Times New Roman" w:hAnsi="UICTFontTextStyleItalicBody" w:cs="Times New Roman"/>
          <w:i/>
          <w:iCs/>
          <w:color w:val="212121"/>
          <w:sz w:val="26"/>
          <w:szCs w:val="26"/>
          <w:u w:val="single"/>
          <w:lang w:eastAsia="en-GB"/>
        </w:rPr>
        <w:t> from 30 November 2022.</w:t>
      </w:r>
      <w:r w:rsidRPr="00430B07">
        <w:rPr>
          <w:rFonts w:ascii="UICTFontTextStyleBody" w:eastAsia="Times New Roman" w:hAnsi="UICTFontTextStyleBody" w:cs="Times New Roman"/>
          <w:color w:val="212121"/>
          <w:sz w:val="26"/>
          <w:szCs w:val="26"/>
          <w:lang w:eastAsia="en-GB"/>
        </w:rPr>
        <w:t> The </w:t>
      </w:r>
      <w:hyperlink r:id="rId6" w:tgtFrame="_blank" w:history="1">
        <w:r w:rsidRPr="00430B07">
          <w:rPr>
            <w:rFonts w:ascii="UICTFontTextStyleBody" w:eastAsia="Times New Roman" w:hAnsi="UICTFontTextStyleBody" w:cs="Times New Roman"/>
            <w:color w:val="E4AF0A"/>
            <w:sz w:val="26"/>
            <w:szCs w:val="26"/>
            <w:u w:val="single"/>
            <w:lang w:eastAsia="en-GB"/>
          </w:rPr>
          <w:t xml:space="preserve">general practice readiness </w:t>
        </w:r>
        <w:proofErr w:type="spellStart"/>
        <w:r w:rsidRPr="00430B07">
          <w:rPr>
            <w:rFonts w:ascii="UICTFontTextStyleBody" w:eastAsia="Times New Roman" w:hAnsi="UICTFontTextStyleBody" w:cs="Times New Roman"/>
            <w:color w:val="E4AF0A"/>
            <w:sz w:val="26"/>
            <w:szCs w:val="26"/>
            <w:u w:val="single"/>
            <w:lang w:eastAsia="en-GB"/>
          </w:rPr>
          <w:t>checklist</w:t>
        </w:r>
      </w:hyperlink>
      <w:r w:rsidRPr="00430B07">
        <w:rPr>
          <w:rFonts w:ascii="UICTFontTextStyleBody" w:eastAsia="Times New Roman" w:hAnsi="UICTFontTextStyleBody" w:cs="Times New Roman"/>
          <w:color w:val="212121"/>
          <w:sz w:val="26"/>
          <w:szCs w:val="26"/>
          <w:lang w:eastAsia="en-GB"/>
        </w:rPr>
        <w:t>should</w:t>
      </w:r>
      <w:proofErr w:type="spellEnd"/>
      <w:r w:rsidRPr="00430B07">
        <w:rPr>
          <w:rFonts w:ascii="UICTFontTextStyleBody" w:eastAsia="Times New Roman" w:hAnsi="UICTFontTextStyleBody" w:cs="Times New Roman"/>
          <w:color w:val="212121"/>
          <w:sz w:val="26"/>
          <w:szCs w:val="26"/>
          <w:lang w:eastAsia="en-GB"/>
        </w:rPr>
        <w:t xml:space="preserve"> be used to help with preparations.</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EmphasizedBody" w:eastAsia="Times New Roman" w:hAnsi="UICTFontTextStyleEmphasizedBody" w:cs="Times New Roman"/>
          <w:b/>
          <w:bCs/>
          <w:color w:val="212121"/>
          <w:sz w:val="26"/>
          <w:szCs w:val="26"/>
          <w:lang w:eastAsia="en-GB"/>
        </w:rPr>
        <w:t>For all other practices that will not have informed EMIS and TPP to pause by </w:t>
      </w:r>
      <w:r w:rsidRPr="00430B07">
        <w:rPr>
          <w:rFonts w:ascii="UICTFontTextStyleEmphasizedBody" w:eastAsia="Times New Roman" w:hAnsi="UICTFontTextStyleEmphasizedBody" w:cs="Times New Roman"/>
          <w:b/>
          <w:bCs/>
          <w:color w:val="212121"/>
          <w:sz w:val="26"/>
          <w:szCs w:val="26"/>
          <w:u w:val="single"/>
          <w:lang w:eastAsia="en-GB"/>
        </w:rPr>
        <w:t>5pm on 4 November</w:t>
      </w:r>
      <w:r w:rsidRPr="00430B07">
        <w:rPr>
          <w:rFonts w:ascii="UICTFontTextStyleBody" w:eastAsia="Times New Roman" w:hAnsi="UICTFontTextStyleBody" w:cs="Times New Roman"/>
          <w:color w:val="212121"/>
          <w:sz w:val="26"/>
          <w:szCs w:val="26"/>
          <w:lang w:eastAsia="en-GB"/>
        </w:rPr>
        <w:t>: we will continue to work with EMIS and TPP to implement the change as planned, with prospective data entered into patient records from 1 November 2022 automatically becoming visible in a phased way.  </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EmphasizedBody" w:eastAsia="Times New Roman" w:hAnsi="UICTFontTextStyleEmphasizedBody" w:cs="Times New Roman"/>
          <w:b/>
          <w:bCs/>
          <w:color w:val="212121"/>
          <w:sz w:val="26"/>
          <w:szCs w:val="26"/>
          <w:lang w:eastAsia="en-GB"/>
        </w:rPr>
        <w:t>LMC View:</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Body" w:eastAsia="Times New Roman" w:hAnsi="UICTFontTextStyleBody" w:cs="Times New Roman"/>
          <w:color w:val="212121"/>
          <w:sz w:val="26"/>
          <w:szCs w:val="26"/>
          <w:lang w:eastAsia="en-GB"/>
        </w:rPr>
        <w:t>We would question the “international consensus” about benefits to patients merely by signposting you to this study from Bristol in October’s BJGP:</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hyperlink r:id="rId7" w:tgtFrame="_blank" w:history="1">
        <w:r w:rsidRPr="00430B07">
          <w:rPr>
            <w:rFonts w:ascii="UICTFontTextStyleBody" w:eastAsia="Times New Roman" w:hAnsi="UICTFontTextStyleBody" w:cs="Times New Roman"/>
            <w:color w:val="0078D4"/>
            <w:sz w:val="26"/>
            <w:szCs w:val="26"/>
            <w:u w:val="single"/>
            <w:lang w:eastAsia="en-GB"/>
          </w:rPr>
          <w:t>https://bjgp.org/content/early/2022/10/21/BJGP.2021.0720</w:t>
        </w:r>
      </w:hyperlink>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Body" w:eastAsia="Times New Roman" w:hAnsi="UICTFontTextStyleBody" w:cs="Times New Roman"/>
          <w:color w:val="212121"/>
          <w:sz w:val="26"/>
          <w:szCs w:val="26"/>
          <w:lang w:eastAsia="en-GB"/>
        </w:rPr>
        <w:t>Further, we suspect the BMA may take issue with this guidance which </w:t>
      </w:r>
      <w:r w:rsidRPr="00430B07">
        <w:rPr>
          <w:rFonts w:ascii="UICTFontTextStyleItalicBody" w:eastAsia="Times New Roman" w:hAnsi="UICTFontTextStyleItalicBody" w:cs="Times New Roman"/>
          <w:i/>
          <w:iCs/>
          <w:color w:val="212121"/>
          <w:sz w:val="26"/>
          <w:szCs w:val="26"/>
          <w:u w:val="single"/>
          <w:lang w:eastAsia="en-GB"/>
        </w:rPr>
        <w:t>advises that updates will automatically be enabled on 30 November irrespective of whether a practice has informed their system supplier of concerns</w:t>
      </w:r>
      <w:r w:rsidRPr="00430B07">
        <w:rPr>
          <w:rFonts w:ascii="UICTFontTextStyleBody" w:eastAsia="Times New Roman" w:hAnsi="UICTFontTextStyleBody" w:cs="Times New Roman"/>
          <w:color w:val="212121"/>
          <w:sz w:val="26"/>
          <w:szCs w:val="26"/>
          <w:lang w:eastAsia="en-GB"/>
        </w:rPr>
        <w:t>, as there are potentially competing legal powers at play: Para 59(6</w:t>
      </w:r>
      <w:proofErr w:type="gramStart"/>
      <w:r w:rsidRPr="00430B07">
        <w:rPr>
          <w:rFonts w:ascii="UICTFontTextStyleBody" w:eastAsia="Times New Roman" w:hAnsi="UICTFontTextStyleBody" w:cs="Times New Roman"/>
          <w:color w:val="212121"/>
          <w:sz w:val="26"/>
          <w:szCs w:val="26"/>
          <w:lang w:eastAsia="en-GB"/>
        </w:rPr>
        <w:t>)(</w:t>
      </w:r>
      <w:proofErr w:type="gramEnd"/>
      <w:r w:rsidRPr="00430B07">
        <w:rPr>
          <w:rFonts w:ascii="UICTFontTextStyleBody" w:eastAsia="Times New Roman" w:hAnsi="UICTFontTextStyleBody" w:cs="Times New Roman"/>
          <w:color w:val="212121"/>
          <w:sz w:val="26"/>
          <w:szCs w:val="26"/>
          <w:lang w:eastAsia="en-GB"/>
        </w:rPr>
        <w:t xml:space="preserve">a) DPA 2018 essentially states that no party has powers to force GPs to enable patient on-line access. This is the part of the DPA 2018 which states that the Data Processor must only act on the instructions of the Data Controller, in this circumstance the GP. So if the GP says “do not turn on on-line access” the processor must not do it, for fear of breaching the law. In the context of para 59 generally the “contract” is the novation by virtue of government enforced changes within the NHS of the Practice/PCT agreement which then became the CCG/Practice agreement and which is now no doubt the ICS/Practice agreement for IT services under the 2004 </w:t>
      </w:r>
      <w:proofErr w:type="spellStart"/>
      <w:r w:rsidRPr="00430B07">
        <w:rPr>
          <w:rFonts w:ascii="UICTFontTextStyleBody" w:eastAsia="Times New Roman" w:hAnsi="UICTFontTextStyleBody" w:cs="Times New Roman"/>
          <w:color w:val="212121"/>
          <w:sz w:val="26"/>
          <w:szCs w:val="26"/>
          <w:lang w:eastAsia="en-GB"/>
        </w:rPr>
        <w:t>nGMS</w:t>
      </w:r>
      <w:proofErr w:type="spellEnd"/>
      <w:r w:rsidRPr="00430B07">
        <w:rPr>
          <w:rFonts w:ascii="UICTFontTextStyleBody" w:eastAsia="Times New Roman" w:hAnsi="UICTFontTextStyleBody" w:cs="Times New Roman"/>
          <w:color w:val="212121"/>
          <w:sz w:val="26"/>
          <w:szCs w:val="26"/>
          <w:lang w:eastAsia="en-GB"/>
        </w:rPr>
        <w:t xml:space="preserve"> contract.</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Body" w:eastAsia="Times New Roman" w:hAnsi="UICTFontTextStyleBody" w:cs="Times New Roman"/>
          <w:color w:val="212121"/>
          <w:sz w:val="26"/>
          <w:szCs w:val="26"/>
          <w:lang w:eastAsia="en-GB"/>
        </w:rPr>
        <w:t>Finally, the regulations:</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Body" w:eastAsia="Times New Roman" w:hAnsi="UICTFontTextStyleBody" w:cs="Times New Roman"/>
          <w:color w:val="212121"/>
          <w:sz w:val="26"/>
          <w:szCs w:val="26"/>
          <w:lang w:eastAsia="en-GB"/>
        </w:rPr>
        <w:br/>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Body" w:eastAsia="Times New Roman" w:hAnsi="UICTFontTextStyleBody" w:cs="Times New Roman"/>
          <w:color w:val="212121"/>
          <w:sz w:val="26"/>
          <w:szCs w:val="26"/>
          <w:lang w:eastAsia="en-GB"/>
        </w:rPr>
        <w:t>You will note the wording used by NHSE: </w:t>
      </w:r>
      <w:r w:rsidRPr="00430B07">
        <w:rPr>
          <w:rFonts w:ascii="UICTFontTextStyleItalicBody" w:eastAsia="Times New Roman" w:hAnsi="UICTFontTextStyleItalicBody" w:cs="Times New Roman"/>
          <w:i/>
          <w:iCs/>
          <w:color w:val="212121"/>
          <w:sz w:val="26"/>
          <w:szCs w:val="26"/>
          <w:lang w:eastAsia="en-GB"/>
        </w:rPr>
        <w:t>Under the terms of the 2019/20 GP contract, practices have been required to </w:t>
      </w:r>
      <w:r w:rsidRPr="00430B07">
        <w:rPr>
          <w:rFonts w:ascii="UICTFontTextStyleItalicBody" w:eastAsia="Times New Roman" w:hAnsi="UICTFontTextStyleItalicBody" w:cs="Times New Roman"/>
          <w:i/>
          <w:iCs/>
          <w:color w:val="212121"/>
          <w:sz w:val="26"/>
          <w:szCs w:val="26"/>
          <w:u w:val="single"/>
          <w:lang w:eastAsia="en-GB"/>
        </w:rPr>
        <w:t>offer</w:t>
      </w:r>
      <w:r w:rsidRPr="00430B07">
        <w:rPr>
          <w:rFonts w:ascii="UICTFontTextStyleItalicBody" w:eastAsia="Times New Roman" w:hAnsi="UICTFontTextStyleItalicBody" w:cs="Times New Roman"/>
          <w:i/>
          <w:iCs/>
          <w:color w:val="212121"/>
          <w:sz w:val="26"/>
          <w:szCs w:val="26"/>
          <w:lang w:eastAsia="en-GB"/>
        </w:rPr>
        <w:t> citizens digital access to all their prospective data. </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Body" w:eastAsia="Times New Roman" w:hAnsi="UICTFontTextStyleBody" w:cs="Times New Roman"/>
          <w:color w:val="212121"/>
          <w:sz w:val="26"/>
          <w:szCs w:val="26"/>
          <w:lang w:eastAsia="en-GB"/>
        </w:rPr>
        <w:t>“Offer” does not mean automatically impose to every single person whether they have asked for it or not. </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Body" w:eastAsia="Times New Roman" w:hAnsi="UICTFontTextStyleBody" w:cs="Times New Roman"/>
          <w:color w:val="212121"/>
          <w:sz w:val="26"/>
          <w:szCs w:val="26"/>
          <w:lang w:eastAsia="en-GB"/>
        </w:rPr>
        <w:t xml:space="preserve">Indeed, 71ZA (3) of the </w:t>
      </w:r>
      <w:proofErr w:type="spellStart"/>
      <w:r w:rsidRPr="00430B07">
        <w:rPr>
          <w:rFonts w:ascii="UICTFontTextStyleBody" w:eastAsia="Times New Roman" w:hAnsi="UICTFontTextStyleBody" w:cs="Times New Roman"/>
          <w:color w:val="212121"/>
          <w:sz w:val="26"/>
          <w:szCs w:val="26"/>
          <w:lang w:eastAsia="en-GB"/>
        </w:rPr>
        <w:t>Regs</w:t>
      </w:r>
      <w:proofErr w:type="spellEnd"/>
      <w:r w:rsidRPr="00430B07">
        <w:rPr>
          <w:rFonts w:ascii="UICTFontTextStyleBody" w:eastAsia="Times New Roman" w:hAnsi="UICTFontTextStyleBody" w:cs="Times New Roman"/>
          <w:color w:val="212121"/>
          <w:sz w:val="26"/>
          <w:szCs w:val="26"/>
          <w:lang w:eastAsia="en-GB"/>
        </w:rPr>
        <w:t xml:space="preserve"> places the following condition on provision of the service:</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ItalicBody" w:eastAsia="Times New Roman" w:hAnsi="UICTFontTextStyleItalicBody" w:cs="Times New Roman"/>
          <w:i/>
          <w:iCs/>
          <w:color w:val="212121"/>
          <w:sz w:val="26"/>
          <w:szCs w:val="26"/>
          <w:lang w:eastAsia="en-GB"/>
        </w:rPr>
        <w:t>“</w:t>
      </w:r>
      <w:r w:rsidRPr="00430B07">
        <w:rPr>
          <w:rFonts w:ascii="HelveticaNeue" w:eastAsia="Times New Roman" w:hAnsi="HelveticaNeue" w:cs="Times New Roman"/>
          <w:b/>
          <w:bCs/>
          <w:i/>
          <w:iCs/>
          <w:color w:val="212121"/>
          <w:sz w:val="26"/>
          <w:szCs w:val="26"/>
          <w:u w:val="single"/>
          <w:lang w:eastAsia="en-GB"/>
        </w:rPr>
        <w:t>If</w:t>
      </w:r>
      <w:r w:rsidRPr="00430B07">
        <w:rPr>
          <w:rFonts w:ascii="UICTFontTextStyleItalicBody" w:eastAsia="Times New Roman" w:hAnsi="UICTFontTextStyleItalicBody" w:cs="Times New Roman"/>
          <w:i/>
          <w:iCs/>
          <w:color w:val="212121"/>
          <w:sz w:val="26"/>
          <w:szCs w:val="26"/>
          <w:lang w:eastAsia="en-GB"/>
        </w:rPr>
        <w:t> [the patient] accepts an </w:t>
      </w:r>
      <w:r w:rsidRPr="00430B07">
        <w:rPr>
          <w:rFonts w:ascii="HelveticaNeue" w:eastAsia="Times New Roman" w:hAnsi="HelveticaNeue" w:cs="Times New Roman"/>
          <w:b/>
          <w:bCs/>
          <w:i/>
          <w:iCs/>
          <w:color w:val="212121"/>
          <w:sz w:val="26"/>
          <w:szCs w:val="26"/>
          <w:u w:val="single"/>
          <w:lang w:eastAsia="en-GB"/>
        </w:rPr>
        <w:t>offer</w:t>
      </w:r>
      <w:r w:rsidRPr="00430B07">
        <w:rPr>
          <w:rFonts w:ascii="UICTFontTextStyleItalicBody" w:eastAsia="Times New Roman" w:hAnsi="UICTFontTextStyleItalicBody" w:cs="Times New Roman"/>
          <w:i/>
          <w:iCs/>
          <w:color w:val="212121"/>
          <w:sz w:val="26"/>
          <w:szCs w:val="26"/>
          <w:lang w:eastAsia="en-GB"/>
        </w:rPr>
        <w:t> made under paragraph (2)….”</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Body" w:eastAsia="Times New Roman" w:hAnsi="UICTFontTextStyleBody" w:cs="Times New Roman"/>
          <w:color w:val="212121"/>
          <w:sz w:val="26"/>
          <w:szCs w:val="26"/>
          <w:lang w:eastAsia="en-GB"/>
        </w:rPr>
        <w:t xml:space="preserve">Ergo, the service is (according to the </w:t>
      </w:r>
      <w:proofErr w:type="spellStart"/>
      <w:r w:rsidRPr="00430B07">
        <w:rPr>
          <w:rFonts w:ascii="UICTFontTextStyleBody" w:eastAsia="Times New Roman" w:hAnsi="UICTFontTextStyleBody" w:cs="Times New Roman"/>
          <w:color w:val="212121"/>
          <w:sz w:val="26"/>
          <w:szCs w:val="26"/>
          <w:lang w:eastAsia="en-GB"/>
        </w:rPr>
        <w:t>Regs</w:t>
      </w:r>
      <w:proofErr w:type="spellEnd"/>
      <w:r w:rsidRPr="00430B07">
        <w:rPr>
          <w:rFonts w:ascii="UICTFontTextStyleBody" w:eastAsia="Times New Roman" w:hAnsi="UICTFontTextStyleBody" w:cs="Times New Roman"/>
          <w:color w:val="212121"/>
          <w:sz w:val="26"/>
          <w:szCs w:val="26"/>
          <w:lang w:eastAsia="en-GB"/>
        </w:rPr>
        <w:t>) provided on an opt-in basis, and not an opt-out basis. </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Body" w:eastAsia="Times New Roman" w:hAnsi="UICTFontTextStyleBody" w:cs="Times New Roman"/>
          <w:color w:val="212121"/>
          <w:sz w:val="26"/>
          <w:szCs w:val="26"/>
          <w:lang w:eastAsia="en-GB"/>
        </w:rPr>
        <w:t> </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Body" w:eastAsia="Times New Roman" w:hAnsi="UICTFontTextStyleBody" w:cs="Times New Roman"/>
          <w:color w:val="212121"/>
          <w:sz w:val="26"/>
          <w:szCs w:val="26"/>
          <w:lang w:eastAsia="en-GB"/>
        </w:rPr>
        <w:t>As you can see, this is far from straightforward and has some distance left to run. Practices must also remember that this is but stage-one of a two-stage process. In 2023, the prospective access will switch to facilitate retrospective access. As a GP, personally, that fills me with horror. I cannot vouch for the tens of thousands of consultations I’ve entered into patient records since 2007 - Can you?</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EmphasizedBody" w:eastAsia="Times New Roman" w:hAnsi="UICTFontTextStyleEmphasizedBody" w:cs="Times New Roman"/>
          <w:b/>
          <w:bCs/>
          <w:color w:val="212121"/>
          <w:sz w:val="26"/>
          <w:szCs w:val="26"/>
          <w:lang w:eastAsia="en-GB"/>
        </w:rPr>
        <w:t>Actions for practices now:</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Body" w:eastAsia="Times New Roman" w:hAnsi="UICTFontTextStyleBody" w:cs="Times New Roman"/>
          <w:color w:val="212121"/>
          <w:sz w:val="26"/>
          <w:szCs w:val="26"/>
          <w:lang w:eastAsia="en-GB"/>
        </w:rPr>
        <w:t xml:space="preserve">This is a rapidly evolving situation but it is becoming clear that </w:t>
      </w:r>
      <w:proofErr w:type="gramStart"/>
      <w:r w:rsidRPr="00430B07">
        <w:rPr>
          <w:rFonts w:ascii="UICTFontTextStyleBody" w:eastAsia="Times New Roman" w:hAnsi="UICTFontTextStyleBody" w:cs="Times New Roman"/>
          <w:color w:val="212121"/>
          <w:sz w:val="26"/>
          <w:szCs w:val="26"/>
          <w:lang w:eastAsia="en-GB"/>
        </w:rPr>
        <w:t>practices</w:t>
      </w:r>
      <w:proofErr w:type="gramEnd"/>
      <w:r w:rsidRPr="00430B07">
        <w:rPr>
          <w:rFonts w:ascii="UICTFontTextStyleBody" w:eastAsia="Times New Roman" w:hAnsi="UICTFontTextStyleBody" w:cs="Times New Roman"/>
          <w:color w:val="212121"/>
          <w:sz w:val="26"/>
          <w:szCs w:val="26"/>
          <w:lang w:eastAsia="en-GB"/>
        </w:rPr>
        <w:t xml:space="preserve"> who have expressly told their system suppliers NOT to automatically provision prospective access, are in a completely different position to those who have remained silent and not expressed a preference either way. For practices that are not ready/don't feel this is safe, </w:t>
      </w:r>
      <w:r w:rsidRPr="00430B07">
        <w:rPr>
          <w:rFonts w:ascii="UICTFontTextStyleBody" w:eastAsia="Times New Roman" w:hAnsi="UICTFontTextStyleBody" w:cs="Times New Roman"/>
          <w:color w:val="212121"/>
          <w:sz w:val="26"/>
          <w:szCs w:val="26"/>
          <w:u w:val="single"/>
          <w:lang w:eastAsia="en-GB"/>
        </w:rPr>
        <w:t>they have until Friday to do so.</w:t>
      </w:r>
      <w:r w:rsidRPr="00430B07">
        <w:rPr>
          <w:rFonts w:ascii="UICTFontTextStyleBody" w:eastAsia="Times New Roman" w:hAnsi="UICTFontTextStyleBody" w:cs="Times New Roman"/>
          <w:color w:val="212121"/>
          <w:sz w:val="26"/>
          <w:szCs w:val="26"/>
          <w:lang w:eastAsia="en-GB"/>
        </w:rPr>
        <w:t> </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Body" w:eastAsia="Times New Roman" w:hAnsi="UICTFontTextStyleBody" w:cs="Times New Roman"/>
          <w:color w:val="212121"/>
          <w:sz w:val="26"/>
          <w:szCs w:val="26"/>
          <w:lang w:eastAsia="en-GB"/>
        </w:rPr>
        <w:t>For practices happy to have access turned on, </w:t>
      </w:r>
      <w:r w:rsidRPr="00430B07">
        <w:rPr>
          <w:rFonts w:ascii="UICTFontTextStyleBody" w:eastAsia="Times New Roman" w:hAnsi="UICTFontTextStyleBody" w:cs="Times New Roman"/>
          <w:color w:val="212121"/>
          <w:sz w:val="26"/>
          <w:szCs w:val="26"/>
          <w:u w:val="single"/>
          <w:lang w:eastAsia="en-GB"/>
        </w:rPr>
        <w:t>no action is required</w:t>
      </w:r>
      <w:r w:rsidRPr="00430B07">
        <w:rPr>
          <w:rFonts w:ascii="UICTFontTextStyleBody" w:eastAsia="Times New Roman" w:hAnsi="UICTFontTextStyleBody" w:cs="Times New Roman"/>
          <w:color w:val="212121"/>
          <w:sz w:val="26"/>
          <w:szCs w:val="26"/>
          <w:lang w:eastAsia="en-GB"/>
        </w:rPr>
        <w:t>.</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Body" w:eastAsia="Times New Roman" w:hAnsi="UICTFontTextStyleBody" w:cs="Times New Roman"/>
          <w:b/>
          <w:bCs/>
          <w:color w:val="212121"/>
          <w:sz w:val="26"/>
          <w:szCs w:val="26"/>
          <w:lang w:eastAsia="en-GB"/>
        </w:rPr>
        <w:t>For practices sufficiently concerned by NHSE’s statement, the option remains to bulk add SNOMED code …104 and to keep a waiting list for patients to access their record through an informed consent process. We are presently preparing materials to support practices who have already taken this decision.</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r w:rsidRPr="00430B07">
        <w:rPr>
          <w:rFonts w:ascii="UICTFontTextStyleBody" w:eastAsia="Times New Roman" w:hAnsi="UICTFontTextStyleBody" w:cs="Times New Roman"/>
          <w:color w:val="212121"/>
          <w:sz w:val="26"/>
          <w:szCs w:val="26"/>
          <w:lang w:eastAsia="en-GB"/>
        </w:rPr>
        <w:t>As a reminder, the BMA advice is here:</w:t>
      </w: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p>
    <w:p w:rsidR="00430B07" w:rsidRPr="00430B07" w:rsidRDefault="00430B07" w:rsidP="00430B07">
      <w:pPr>
        <w:shd w:val="clear" w:color="auto" w:fill="FFFFFF"/>
        <w:spacing w:after="0" w:line="240" w:lineRule="auto"/>
        <w:rPr>
          <w:rFonts w:ascii="HelveticaNeue" w:eastAsia="Times New Roman" w:hAnsi="HelveticaNeue" w:cs="Times New Roman"/>
          <w:color w:val="212121"/>
          <w:sz w:val="26"/>
          <w:szCs w:val="26"/>
          <w:lang w:eastAsia="en-GB"/>
        </w:rPr>
      </w:pPr>
      <w:hyperlink r:id="rId8" w:tgtFrame="_blank" w:history="1">
        <w:r w:rsidRPr="00430B07">
          <w:rPr>
            <w:rFonts w:ascii="UICTFontTextStyleBody" w:eastAsia="Times New Roman" w:hAnsi="UICTFontTextStyleBody" w:cs="Times New Roman"/>
            <w:color w:val="0078D4"/>
            <w:sz w:val="26"/>
            <w:szCs w:val="26"/>
            <w:u w:val="single"/>
            <w:lang w:eastAsia="en-GB"/>
          </w:rPr>
          <w:t>https://www.bma.org.uk/advice-and-support/ethics/confidentiality-and-health-records/accelerated-access-to-gp-held-patient-records-guidance</w:t>
        </w:r>
      </w:hyperlink>
    </w:p>
    <w:p w:rsidR="00425BE4" w:rsidRDefault="00425BE4"/>
    <w:sectPr w:rsidR="00425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ICTFontTextStyleBody">
    <w:altName w:val="Times New Roman"/>
    <w:panose1 w:val="00000000000000000000"/>
    <w:charset w:val="00"/>
    <w:family w:val="roman"/>
    <w:notTrueType/>
    <w:pitch w:val="default"/>
  </w:font>
  <w:font w:name="HelveticaNeue">
    <w:altName w:val="Times New Roman"/>
    <w:panose1 w:val="00000000000000000000"/>
    <w:charset w:val="00"/>
    <w:family w:val="roman"/>
    <w:notTrueType/>
    <w:pitch w:val="default"/>
  </w:font>
  <w:font w:name="UICTFontTextStyleEmphasizedBody">
    <w:altName w:val="Times New Roman"/>
    <w:panose1 w:val="00000000000000000000"/>
    <w:charset w:val="00"/>
    <w:family w:val="roman"/>
    <w:notTrueType/>
    <w:pitch w:val="default"/>
  </w:font>
  <w:font w:name="UICTFontTextStyleItalic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7B"/>
    <w:rsid w:val="0004007B"/>
    <w:rsid w:val="00425BE4"/>
    <w:rsid w:val="00430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20968">
      <w:bodyDiv w:val="1"/>
      <w:marLeft w:val="0"/>
      <w:marRight w:val="0"/>
      <w:marTop w:val="0"/>
      <w:marBottom w:val="0"/>
      <w:divBdr>
        <w:top w:val="none" w:sz="0" w:space="0" w:color="auto"/>
        <w:left w:val="none" w:sz="0" w:space="0" w:color="auto"/>
        <w:bottom w:val="none" w:sz="0" w:space="0" w:color="auto"/>
        <w:right w:val="none" w:sz="0" w:space="0" w:color="auto"/>
      </w:divBdr>
      <w:divsChild>
        <w:div w:id="1378118302">
          <w:marLeft w:val="0"/>
          <w:marRight w:val="0"/>
          <w:marTop w:val="0"/>
          <w:marBottom w:val="0"/>
          <w:divBdr>
            <w:top w:val="none" w:sz="0" w:space="0" w:color="auto"/>
            <w:left w:val="none" w:sz="0" w:space="0" w:color="auto"/>
            <w:bottom w:val="none" w:sz="0" w:space="0" w:color="auto"/>
            <w:right w:val="none" w:sz="0" w:space="0" w:color="auto"/>
          </w:divBdr>
        </w:div>
        <w:div w:id="1260985053">
          <w:marLeft w:val="0"/>
          <w:marRight w:val="0"/>
          <w:marTop w:val="0"/>
          <w:marBottom w:val="0"/>
          <w:divBdr>
            <w:top w:val="none" w:sz="0" w:space="0" w:color="auto"/>
            <w:left w:val="none" w:sz="0" w:space="0" w:color="auto"/>
            <w:bottom w:val="none" w:sz="0" w:space="0" w:color="auto"/>
            <w:right w:val="none" w:sz="0" w:space="0" w:color="auto"/>
          </w:divBdr>
        </w:div>
        <w:div w:id="596447001">
          <w:marLeft w:val="0"/>
          <w:marRight w:val="0"/>
          <w:marTop w:val="0"/>
          <w:marBottom w:val="0"/>
          <w:divBdr>
            <w:top w:val="none" w:sz="0" w:space="0" w:color="auto"/>
            <w:left w:val="none" w:sz="0" w:space="0" w:color="auto"/>
            <w:bottom w:val="none" w:sz="0" w:space="0" w:color="auto"/>
            <w:right w:val="none" w:sz="0" w:space="0" w:color="auto"/>
          </w:divBdr>
          <w:divsChild>
            <w:div w:id="101582132">
              <w:marLeft w:val="0"/>
              <w:marRight w:val="0"/>
              <w:marTop w:val="0"/>
              <w:marBottom w:val="0"/>
              <w:divBdr>
                <w:top w:val="none" w:sz="0" w:space="0" w:color="auto"/>
                <w:left w:val="none" w:sz="0" w:space="0" w:color="auto"/>
                <w:bottom w:val="none" w:sz="0" w:space="0" w:color="auto"/>
                <w:right w:val="none" w:sz="0" w:space="0" w:color="auto"/>
              </w:divBdr>
              <w:divsChild>
                <w:div w:id="7918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advice-and-support/ethics/confidentiality-and-health-records/accelerated-access-to-gp-held-patient-records-guidance" TargetMode="External"/><Relationship Id="rId3" Type="http://schemas.openxmlformats.org/officeDocument/2006/relationships/settings" Target="settings.xml"/><Relationship Id="rId7" Type="http://schemas.openxmlformats.org/officeDocument/2006/relationships/hyperlink" Target="https://bjgp.org/content/early/2022/10/21/BJGP.2021.07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tal.nhs.uk/services/nhs-app/nhs-app-guidance-for-gp-practices/guidance-on-nhs-app-features/accelerating-patient-access-to-their-record/gp-practice-readiness-checklist" TargetMode="External"/><Relationship Id="rId5" Type="http://schemas.openxmlformats.org/officeDocument/2006/relationships/hyperlink" Target="https://digital.nhs.uk/services/nhs-app/nhs-app-guidance-for-gp-practices/guidance-on-nhs-app-features/accelerating-patient-access-to-their-record/update-from-nhs-engla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dcterms:created xsi:type="dcterms:W3CDTF">2022-11-03T09:53:00Z</dcterms:created>
  <dcterms:modified xsi:type="dcterms:W3CDTF">2022-11-03T09:54:00Z</dcterms:modified>
</cp:coreProperties>
</file>