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Dear colleagues,</w:t>
            </w:r>
          </w:p>
          <w:p w:rsidR="00191C7E" w:rsidRPr="00191C7E" w:rsidRDefault="00191C7E" w:rsidP="00191C7E">
            <w:pPr>
              <w:spacing w:after="0" w:line="300" w:lineRule="atLeast"/>
              <w:rPr>
                <w:rFonts w:ascii="Arial" w:eastAsia="Times New Roman" w:hAnsi="Arial" w:cs="Arial"/>
                <w:color w:val="50535A"/>
                <w:sz w:val="20"/>
                <w:szCs w:val="20"/>
                <w:lang w:eastAsia="en-GB"/>
              </w:rPr>
            </w:pPr>
          </w:p>
          <w:p w:rsidR="00191C7E" w:rsidRPr="00191C7E" w:rsidRDefault="00191C7E" w:rsidP="00191C7E">
            <w:pPr>
              <w:spacing w:after="0" w:line="300" w:lineRule="atLeast"/>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The Rt. Hon Steve Barclay MP, Secretary of State for Health and Social Care announced earlier today that the Citizens' Access to Records programme will be going live from today (1 November), his full statement to the House of Commons is copied below:</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divId w:val="370689206"/>
              <w:rPr>
                <w:rFonts w:ascii="Arial" w:eastAsia="Times New Roman" w:hAnsi="Arial" w:cs="Arial"/>
                <w:color w:val="50535A"/>
                <w:sz w:val="20"/>
                <w:szCs w:val="20"/>
                <w:lang w:eastAsia="en-GB"/>
              </w:rPr>
            </w:pPr>
            <w:r w:rsidRPr="00191C7E">
              <w:rPr>
                <w:rFonts w:ascii="Arial" w:eastAsia="Times New Roman" w:hAnsi="Arial" w:cs="Arial"/>
                <w:i/>
                <w:iCs/>
                <w:color w:val="50535A"/>
                <w:sz w:val="20"/>
                <w:szCs w:val="20"/>
                <w:lang w:eastAsia="en-GB"/>
              </w:rPr>
              <w:t>“All GP practices will soon be able to automatically provide patients aged 16 and over with access to the latest information in their health records via the NHS app. We are switching on that ability from today, in a process that we expect to be completed by the end of this month. And that is an important milestone for patient empowerment and part of a process that is seeing patients play an even more active role in managing their health and care and I hope that is something across the house that members will welcome on behalf of their patients.”</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In response to the announcement, the BMA issued the following </w:t>
            </w:r>
            <w:hyperlink r:id="rId5" w:tgtFrame="_blank" w:tooltip="Read our statement" w:history="1">
              <w:r w:rsidRPr="00191C7E">
                <w:rPr>
                  <w:rFonts w:ascii="Arial" w:eastAsia="Times New Roman" w:hAnsi="Arial" w:cs="Arial"/>
                  <w:b/>
                  <w:bCs/>
                  <w:color w:val="0967B1"/>
                  <w:sz w:val="20"/>
                  <w:szCs w:val="20"/>
                  <w:lang w:eastAsia="en-GB"/>
                </w:rPr>
                <w:t>statement</w:t>
              </w:r>
            </w:hyperlink>
            <w:r w:rsidRPr="00191C7E">
              <w:rPr>
                <w:rFonts w:ascii="Arial" w:eastAsia="Times New Roman" w:hAnsi="Arial" w:cs="Arial"/>
                <w:color w:val="50535A"/>
                <w:sz w:val="20"/>
                <w:szCs w:val="20"/>
                <w:lang w:eastAsia="en-GB"/>
              </w:rPr>
              <w:t> calling for clarity over the deployment of the programme and assurances that practices who do not yet feel ready, have ample time as they deem necessary to make preparations in order to ensure patients are protected.</w:t>
            </w:r>
          </w:p>
          <w:p w:rsidR="00191C7E" w:rsidRPr="00191C7E" w:rsidRDefault="00191C7E" w:rsidP="00191C7E">
            <w:pPr>
              <w:spacing w:after="0" w:line="300" w:lineRule="atLeast"/>
              <w:rPr>
                <w:rFonts w:ascii="Arial" w:eastAsia="Times New Roman" w:hAnsi="Arial" w:cs="Arial"/>
                <w:color w:val="50535A"/>
                <w:sz w:val="20"/>
                <w:szCs w:val="20"/>
                <w:lang w:eastAsia="en-GB"/>
              </w:rPr>
            </w:pPr>
          </w:p>
          <w:p w:rsidR="00191C7E" w:rsidRPr="00191C7E" w:rsidRDefault="00191C7E" w:rsidP="00191C7E">
            <w:pPr>
              <w:spacing w:after="0" w:line="300" w:lineRule="atLeast"/>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This is a fast-moving situation, however, we have received confirmation that neither EMIS nor TPP will be switching on record access today and that for the time being, default automatic record access will, as a minimum, not be switched on.</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divId w:val="1610508277"/>
              <w:rPr>
                <w:rFonts w:ascii="Arial" w:eastAsia="Times New Roman" w:hAnsi="Arial" w:cs="Arial"/>
                <w:color w:val="50535A"/>
                <w:sz w:val="20"/>
                <w:szCs w:val="20"/>
                <w:lang w:eastAsia="en-GB"/>
              </w:rPr>
            </w:pPr>
            <w:hyperlink r:id="rId6" w:tgtFrame="_blank" w:tooltip="Read our guidance" w:history="1">
              <w:r w:rsidRPr="00191C7E">
                <w:rPr>
                  <w:rFonts w:ascii="Arial" w:eastAsia="Times New Roman" w:hAnsi="Arial" w:cs="Arial"/>
                  <w:b/>
                  <w:bCs/>
                  <w:color w:val="0967B1"/>
                  <w:sz w:val="20"/>
                  <w:szCs w:val="20"/>
                  <w:lang w:eastAsia="en-GB"/>
                </w:rPr>
                <w:t>Access BMA guidance to practices</w:t>
              </w:r>
            </w:hyperlink>
            <w:r w:rsidRPr="00191C7E">
              <w:rPr>
                <w:rFonts w:ascii="Arial" w:eastAsia="Times New Roman" w:hAnsi="Arial" w:cs="Arial"/>
                <w:color w:val="50535A"/>
                <w:sz w:val="20"/>
                <w:szCs w:val="20"/>
                <w:lang w:eastAsia="en-GB"/>
              </w:rPr>
              <w:t>, we recommend that practices follow the guidance and steps as set out. We will be in regular communication as and when the situation updates.</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91C7E" w:rsidRPr="00191C7E" w:rsidTr="00191C7E">
        <w:trPr>
          <w:tblCellSpacing w:w="0" w:type="dxa"/>
        </w:trPr>
        <w:tc>
          <w:tcPr>
            <w:tcW w:w="0" w:type="auto"/>
            <w:shd w:val="clear" w:color="auto" w:fill="FFFFFF"/>
            <w:vAlign w:val="center"/>
            <w:hideMark/>
          </w:tcPr>
          <w:p w:rsidR="00191C7E" w:rsidRPr="00191C7E" w:rsidRDefault="00191C7E" w:rsidP="00191C7E">
            <w:pPr>
              <w:spacing w:after="0" w:line="15" w:lineRule="atLeast"/>
              <w:rPr>
                <w:rFonts w:ascii="Arial" w:eastAsia="Times New Roman" w:hAnsi="Arial" w:cs="Arial"/>
                <w:color w:val="333333"/>
                <w:sz w:val="2"/>
                <w:szCs w:val="2"/>
                <w:lang w:eastAsia="en-GB"/>
              </w:rPr>
            </w:pPr>
            <w:r w:rsidRPr="00191C7E">
              <w:rPr>
                <w:rFonts w:ascii="Arial" w:eastAsia="Times New Roman" w:hAnsi="Arial" w:cs="Arial"/>
                <w:noProof/>
                <w:color w:val="333333"/>
                <w:sz w:val="2"/>
                <w:szCs w:val="2"/>
                <w:lang w:eastAsia="en-GB"/>
              </w:rPr>
              <w:drawing>
                <wp:inline distT="0" distB="0" distL="0" distR="0" wp14:anchorId="158DA918" wp14:editId="769CBDB4">
                  <wp:extent cx="8255" cy="142875"/>
                  <wp:effectExtent l="0" t="0" r="0" b="0"/>
                  <wp:docPr id="1" name="Picture 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91C7E" w:rsidRPr="00191C7E" w:rsidTr="00191C7E">
        <w:trPr>
          <w:tblCellSpacing w:w="0" w:type="dxa"/>
          <w:jc w:val="center"/>
        </w:trPr>
        <w:tc>
          <w:tcPr>
            <w:tcW w:w="0" w:type="auto"/>
            <w:tcBorders>
              <w:top w:val="nil"/>
              <w:left w:val="nil"/>
              <w:bottom w:val="nil"/>
              <w:right w:val="nil"/>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91C7E" w:rsidRPr="00191C7E" w:rsidTr="00191C7E">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191C7E" w:rsidRPr="00191C7E">
                    <w:trPr>
                      <w:tblCellSpacing w:w="0" w:type="dxa"/>
                    </w:trPr>
                    <w:tc>
                      <w:tcPr>
                        <w:tcW w:w="0" w:type="auto"/>
                        <w:tcMar>
                          <w:top w:w="150" w:type="dxa"/>
                          <w:left w:w="150" w:type="dxa"/>
                          <w:bottom w:w="15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51"/>
                        </w:tblGrid>
                        <w:tr w:rsidR="00191C7E" w:rsidRPr="00191C7E">
                          <w:trPr>
                            <w:tblCellSpacing w:w="0" w:type="dxa"/>
                            <w:jc w:val="center"/>
                          </w:trPr>
                          <w:tc>
                            <w:tcPr>
                              <w:tcW w:w="0" w:type="auto"/>
                              <w:shd w:val="clear" w:color="auto" w:fill="0967B1"/>
                              <w:vAlign w:val="center"/>
                              <w:hideMark/>
                            </w:tcPr>
                            <w:p w:rsidR="00191C7E" w:rsidRPr="00191C7E" w:rsidRDefault="00191C7E" w:rsidP="00191C7E">
                              <w:pPr>
                                <w:spacing w:after="0" w:line="285" w:lineRule="atLeast"/>
                                <w:jc w:val="center"/>
                                <w:rPr>
                                  <w:rFonts w:ascii="Arial" w:eastAsia="Times New Roman" w:hAnsi="Arial" w:cs="Arial"/>
                                  <w:color w:val="FFFFFF"/>
                                  <w:sz w:val="20"/>
                                  <w:szCs w:val="20"/>
                                  <w:lang w:eastAsia="en-GB"/>
                                </w:rPr>
                              </w:pPr>
                              <w:hyperlink r:id="rId8" w:tgtFrame="_blank" w:tooltip="Read our guidance" w:history="1">
                                <w:r w:rsidRPr="00191C7E">
                                  <w:rPr>
                                    <w:rFonts w:ascii="Arial" w:eastAsia="Times New Roman" w:hAnsi="Arial" w:cs="Arial"/>
                                    <w:b/>
                                    <w:bCs/>
                                    <w:color w:val="FFFFFF"/>
                                    <w:sz w:val="20"/>
                                    <w:szCs w:val="20"/>
                                    <w:bdr w:val="single" w:sz="2" w:space="6" w:color="000000" w:frame="1"/>
                                    <w:lang w:eastAsia="en-GB"/>
                                  </w:rPr>
                                  <w:t>Read our guidance</w:t>
                                </w:r>
                              </w:hyperlink>
                            </w:p>
                          </w:tc>
                        </w:tr>
                      </w:tbl>
                      <w:p w:rsidR="00191C7E" w:rsidRPr="00191C7E" w:rsidRDefault="00191C7E" w:rsidP="00191C7E">
                        <w:pPr>
                          <w:spacing w:after="0" w:line="240" w:lineRule="auto"/>
                          <w:jc w:val="center"/>
                          <w:rPr>
                            <w:rFonts w:ascii="Arial" w:eastAsia="Times New Roman" w:hAnsi="Arial" w:cs="Arial"/>
                            <w:sz w:val="24"/>
                            <w:szCs w:val="24"/>
                            <w:lang w:eastAsia="en-GB"/>
                          </w:rPr>
                        </w:pPr>
                      </w:p>
                    </w:tc>
                  </w:tr>
                </w:tbl>
                <w:p w:rsidR="00191C7E" w:rsidRPr="00191C7E" w:rsidRDefault="00191C7E" w:rsidP="00191C7E">
                  <w:pPr>
                    <w:spacing w:after="0" w:line="240" w:lineRule="auto"/>
                    <w:rPr>
                      <w:rFonts w:ascii="Arial" w:eastAsia="Times New Roman" w:hAnsi="Arial" w:cs="Arial"/>
                      <w:sz w:val="24"/>
                      <w:szCs w:val="24"/>
                      <w:lang w:eastAsia="en-GB"/>
                    </w:rPr>
                  </w:pPr>
                </w:p>
              </w:tc>
            </w:tr>
            <w:tr w:rsidR="00191C7E" w:rsidRPr="00191C7E">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191C7E" w:rsidRPr="00191C7E">
                    <w:trPr>
                      <w:tblCellSpacing w:w="0" w:type="dxa"/>
                    </w:trPr>
                    <w:tc>
                      <w:tcPr>
                        <w:tcW w:w="0" w:type="auto"/>
                        <w:tcMar>
                          <w:top w:w="150" w:type="dxa"/>
                          <w:left w:w="150" w:type="dxa"/>
                          <w:bottom w:w="15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018"/>
                        </w:tblGrid>
                        <w:tr w:rsidR="00191C7E" w:rsidRPr="00191C7E">
                          <w:trPr>
                            <w:tblCellSpacing w:w="0" w:type="dxa"/>
                            <w:jc w:val="center"/>
                          </w:trPr>
                          <w:tc>
                            <w:tcPr>
                              <w:tcW w:w="0" w:type="auto"/>
                              <w:shd w:val="clear" w:color="auto" w:fill="0967B1"/>
                              <w:vAlign w:val="center"/>
                              <w:hideMark/>
                            </w:tcPr>
                            <w:p w:rsidR="00191C7E" w:rsidRPr="00191C7E" w:rsidRDefault="00191C7E" w:rsidP="00191C7E">
                              <w:pPr>
                                <w:spacing w:after="0" w:line="285" w:lineRule="atLeast"/>
                                <w:jc w:val="center"/>
                                <w:rPr>
                                  <w:rFonts w:ascii="Arial" w:eastAsia="Times New Roman" w:hAnsi="Arial" w:cs="Arial"/>
                                  <w:color w:val="FFFFFF"/>
                                  <w:sz w:val="20"/>
                                  <w:szCs w:val="20"/>
                                  <w:lang w:eastAsia="en-GB"/>
                                </w:rPr>
                              </w:pPr>
                              <w:hyperlink r:id="rId9" w:tgtFrame="_blank" w:history="1">
                                <w:r w:rsidRPr="00191C7E">
                                  <w:rPr>
                                    <w:rFonts w:ascii="Arial" w:eastAsia="Times New Roman" w:hAnsi="Arial" w:cs="Arial"/>
                                    <w:b/>
                                    <w:bCs/>
                                    <w:color w:val="FFFFFF"/>
                                    <w:sz w:val="20"/>
                                    <w:szCs w:val="20"/>
                                    <w:bdr w:val="single" w:sz="2" w:space="6" w:color="000000" w:frame="1"/>
                                    <w:lang w:eastAsia="en-GB"/>
                                  </w:rPr>
                                  <w:t>Download our template letter for system suppliers</w:t>
                                </w:r>
                              </w:hyperlink>
                            </w:p>
                          </w:tc>
                        </w:tr>
                      </w:tbl>
                      <w:p w:rsidR="00191C7E" w:rsidRPr="00191C7E" w:rsidRDefault="00191C7E" w:rsidP="00191C7E">
                        <w:pPr>
                          <w:spacing w:after="0" w:line="240" w:lineRule="auto"/>
                          <w:jc w:val="center"/>
                          <w:rPr>
                            <w:rFonts w:ascii="Arial" w:eastAsia="Times New Roman" w:hAnsi="Arial" w:cs="Arial"/>
                            <w:sz w:val="24"/>
                            <w:szCs w:val="24"/>
                            <w:lang w:eastAsia="en-GB"/>
                          </w:rPr>
                        </w:pPr>
                      </w:p>
                    </w:tc>
                  </w:tr>
                </w:tbl>
                <w:p w:rsidR="00191C7E" w:rsidRPr="00191C7E" w:rsidRDefault="00191C7E" w:rsidP="00191C7E">
                  <w:pPr>
                    <w:spacing w:after="0" w:line="240" w:lineRule="auto"/>
                    <w:rPr>
                      <w:rFonts w:ascii="Arial" w:eastAsia="Times New Roman" w:hAnsi="Arial" w:cs="Arial"/>
                      <w:sz w:val="24"/>
                      <w:szCs w:val="24"/>
                      <w:lang w:eastAsia="en-GB"/>
                    </w:rPr>
                  </w:pPr>
                </w:p>
              </w:tc>
            </w:tr>
          </w:tbl>
          <w:p w:rsidR="00191C7E" w:rsidRPr="00191C7E" w:rsidRDefault="00191C7E" w:rsidP="00191C7E">
            <w:pPr>
              <w:spacing w:after="0" w:line="240" w:lineRule="auto"/>
              <w:jc w:val="center"/>
              <w:textAlignment w:val="top"/>
              <w:rPr>
                <w:rFonts w:ascii="Arial" w:eastAsia="Times New Roman" w:hAnsi="Arial" w:cs="Arial"/>
                <w:color w:val="333333"/>
                <w:sz w:val="2"/>
                <w:szCs w:val="2"/>
                <w:lang w:eastAsia="en-GB"/>
              </w:rPr>
            </w:pP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91C7E" w:rsidRPr="00191C7E" w:rsidTr="00191C7E">
        <w:trPr>
          <w:tblCellSpacing w:w="0" w:type="dxa"/>
        </w:trPr>
        <w:tc>
          <w:tcPr>
            <w:tcW w:w="0" w:type="auto"/>
            <w:shd w:val="clear" w:color="auto" w:fill="FFFFFF"/>
            <w:vAlign w:val="center"/>
            <w:hideMark/>
          </w:tcPr>
          <w:p w:rsidR="00191C7E" w:rsidRPr="00191C7E" w:rsidRDefault="00191C7E" w:rsidP="00191C7E">
            <w:pPr>
              <w:spacing w:after="0" w:line="15" w:lineRule="atLeast"/>
              <w:rPr>
                <w:rFonts w:ascii="Arial" w:eastAsia="Times New Roman" w:hAnsi="Arial" w:cs="Arial"/>
                <w:color w:val="333333"/>
                <w:sz w:val="2"/>
                <w:szCs w:val="2"/>
                <w:lang w:eastAsia="en-GB"/>
              </w:rPr>
            </w:pPr>
            <w:r w:rsidRPr="00191C7E">
              <w:rPr>
                <w:rFonts w:ascii="Arial" w:eastAsia="Times New Roman" w:hAnsi="Arial" w:cs="Arial"/>
                <w:noProof/>
                <w:color w:val="333333"/>
                <w:sz w:val="2"/>
                <w:szCs w:val="2"/>
                <w:lang w:eastAsia="en-GB"/>
              </w:rPr>
              <w:drawing>
                <wp:inline distT="0" distB="0" distL="0" distR="0" wp14:anchorId="00E2E712" wp14:editId="1BC75DC1">
                  <wp:extent cx="8255" cy="142875"/>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142875"/>
                          </a:xfrm>
                          <a:prstGeom prst="rect">
                            <a:avLst/>
                          </a:prstGeom>
                          <a:noFill/>
                          <a:ln>
                            <a:noFill/>
                          </a:ln>
                        </pic:spPr>
                      </pic:pic>
                    </a:graphicData>
                  </a:graphic>
                </wp:inline>
              </w:drawing>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191C7E" w:rsidRPr="00191C7E" w:rsidRDefault="00191C7E" w:rsidP="00191C7E">
            <w:pPr>
              <w:spacing w:after="0" w:line="240" w:lineRule="auto"/>
              <w:rPr>
                <w:rFonts w:ascii="Arial" w:eastAsia="Times New Roman" w:hAnsi="Arial" w:cs="Arial"/>
                <w:color w:val="333333"/>
                <w:sz w:val="2"/>
                <w:szCs w:val="2"/>
                <w:lang w:eastAsia="en-GB"/>
              </w:rPr>
            </w:pP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divId w:val="999845787"/>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If you have any questions, please get in touch with </w:t>
            </w:r>
            <w:hyperlink r:id="rId10" w:history="1">
              <w:r w:rsidRPr="00191C7E">
                <w:rPr>
                  <w:rFonts w:ascii="Arial" w:eastAsia="Times New Roman" w:hAnsi="Arial" w:cs="Arial"/>
                  <w:b/>
                  <w:bCs/>
                  <w:color w:val="0967B1"/>
                  <w:sz w:val="20"/>
                  <w:szCs w:val="20"/>
                  <w:lang w:eastAsia="en-GB"/>
                </w:rPr>
                <w:t>info.gpc@bma.org.uk</w:t>
              </w:r>
            </w:hyperlink>
            <w:r w:rsidRPr="00191C7E">
              <w:rPr>
                <w:rFonts w:ascii="Arial" w:eastAsia="Times New Roman" w:hAnsi="Arial" w:cs="Arial"/>
                <w:color w:val="50535A"/>
                <w:sz w:val="20"/>
                <w:szCs w:val="20"/>
                <w:lang w:eastAsia="en-GB"/>
              </w:rPr>
              <w:t>.</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191C7E" w:rsidRPr="00191C7E" w:rsidRDefault="00191C7E" w:rsidP="00191C7E">
            <w:pPr>
              <w:spacing w:after="0" w:line="300" w:lineRule="atLeast"/>
              <w:divId w:val="887181007"/>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With regards,</w:t>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91C7E" w:rsidRPr="00191C7E" w:rsidTr="00191C7E">
        <w:trPr>
          <w:tblCellSpacing w:w="0" w:type="dxa"/>
        </w:trPr>
        <w:tc>
          <w:tcPr>
            <w:tcW w:w="0" w:type="auto"/>
            <w:shd w:val="clear" w:color="auto" w:fill="FFFFFF"/>
            <w:vAlign w:val="center"/>
            <w:hideMark/>
          </w:tcPr>
          <w:p w:rsidR="00191C7E" w:rsidRPr="00191C7E" w:rsidRDefault="00191C7E" w:rsidP="00191C7E">
            <w:pPr>
              <w:spacing w:after="0" w:line="15" w:lineRule="atLeast"/>
              <w:rPr>
                <w:rFonts w:ascii="Arial" w:eastAsia="Times New Roman" w:hAnsi="Arial" w:cs="Arial"/>
                <w:color w:val="333333"/>
                <w:sz w:val="2"/>
                <w:szCs w:val="2"/>
                <w:lang w:eastAsia="en-GB"/>
              </w:rPr>
            </w:pPr>
            <w:r w:rsidRPr="00191C7E">
              <w:rPr>
                <w:rFonts w:ascii="Arial" w:eastAsia="Times New Roman" w:hAnsi="Arial" w:cs="Arial"/>
                <w:noProof/>
                <w:color w:val="333333"/>
                <w:sz w:val="2"/>
                <w:szCs w:val="2"/>
                <w:lang w:eastAsia="en-GB"/>
              </w:rPr>
              <w:drawing>
                <wp:inline distT="0" distB="0" distL="0" distR="0" wp14:anchorId="6F2AE499" wp14:editId="5B90C348">
                  <wp:extent cx="8255" cy="95250"/>
                  <wp:effectExtent l="0" t="0" r="0" b="0"/>
                  <wp:docPr id="3" name="Picture 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bl>
    <w:p w:rsidR="00191C7E" w:rsidRPr="00191C7E" w:rsidRDefault="00191C7E" w:rsidP="00191C7E">
      <w:pPr>
        <w:spacing w:after="0" w:line="240" w:lineRule="auto"/>
        <w:rPr>
          <w:rFonts w:ascii="Times New Roman" w:eastAsia="Times New Roman" w:hAnsi="Times New Roman"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26"/>
      </w:tblGrid>
      <w:tr w:rsidR="00191C7E" w:rsidRPr="00191C7E" w:rsidTr="00191C7E">
        <w:trPr>
          <w:tblCellSpacing w:w="0"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91C7E" w:rsidRPr="00191C7E" w:rsidTr="00191C7E">
              <w:trPr>
                <w:tblCellSpacing w:w="0" w:type="dxa"/>
                <w:jc w:val="center"/>
              </w:trPr>
              <w:tc>
                <w:tcPr>
                  <w:tcW w:w="0" w:type="auto"/>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91C7E" w:rsidRPr="00191C7E">
                    <w:trPr>
                      <w:tblCellSpacing w:w="0" w:type="dxa"/>
                      <w:jc w:val="center"/>
                    </w:trPr>
                    <w:tc>
                      <w:tcPr>
                        <w:tcW w:w="0" w:type="auto"/>
                        <w:tcBorders>
                          <w:top w:val="nil"/>
                          <w:left w:val="nil"/>
                          <w:bottom w:val="nil"/>
                          <w:right w:val="nil"/>
                        </w:tcBorders>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91C7E" w:rsidRPr="00191C7E" w:rsidTr="00191C7E">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191C7E" w:rsidRPr="00191C7E">
                                <w:trPr>
                                  <w:tblCellSpacing w:w="0" w:type="dxa"/>
                                </w:trPr>
                                <w:tc>
                                  <w:tcPr>
                                    <w:tcW w:w="0" w:type="auto"/>
                                    <w:tcBorders>
                                      <w:top w:val="nil"/>
                                      <w:left w:val="nil"/>
                                      <w:bottom w:val="nil"/>
                                      <w:right w:val="nil"/>
                                    </w:tcBorders>
                                    <w:vAlign w:val="center"/>
                                    <w:hideMark/>
                                  </w:tcPr>
                                  <w:p w:rsidR="00191C7E" w:rsidRPr="00191C7E" w:rsidRDefault="00191C7E" w:rsidP="00191C7E">
                                    <w:pPr>
                                      <w:spacing w:after="0" w:line="15" w:lineRule="atLeast"/>
                                      <w:rPr>
                                        <w:rFonts w:ascii="Arial" w:eastAsia="Times New Roman" w:hAnsi="Arial" w:cs="Arial"/>
                                        <w:sz w:val="2"/>
                                        <w:szCs w:val="2"/>
                                        <w:lang w:eastAsia="en-GB"/>
                                      </w:rPr>
                                    </w:pPr>
                                    <w:r w:rsidRPr="00191C7E">
                                      <w:rPr>
                                        <w:rFonts w:ascii="Arial" w:eastAsia="Times New Roman" w:hAnsi="Arial" w:cs="Arial"/>
                                        <w:noProof/>
                                        <w:sz w:val="2"/>
                                        <w:szCs w:val="2"/>
                                        <w:lang w:eastAsia="en-GB"/>
                                      </w:rPr>
                                      <w:drawing>
                                        <wp:inline distT="0" distB="0" distL="0" distR="0" wp14:anchorId="1CF78661" wp14:editId="5EEB0995">
                                          <wp:extent cx="476885" cy="476885"/>
                                          <wp:effectExtent l="0" t="0" r="0" b="0"/>
                                          <wp:docPr id="4" name="Picture 4" descr="https://i.emlfiles4.com/cmpimg/3/7/7/5/2/files/imagecache/13577103/w660_12538432_farahjam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3/7/7/5/2/files/imagecache/13577103/w660_12538432_farahjame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r>
                            </w:tbl>
                            <w:p w:rsidR="00191C7E" w:rsidRPr="00191C7E" w:rsidRDefault="00191C7E" w:rsidP="00191C7E">
                              <w:pPr>
                                <w:spacing w:after="0" w:line="240" w:lineRule="auto"/>
                                <w:rPr>
                                  <w:rFonts w:ascii="Arial" w:eastAsia="Times New Roman" w:hAnsi="Arial" w:cs="Arial"/>
                                  <w:sz w:val="24"/>
                                  <w:szCs w:val="24"/>
                                  <w:lang w:eastAsia="en-GB"/>
                                </w:rPr>
                              </w:pPr>
                            </w:p>
                          </w:tc>
                        </w:tr>
                        <w:tr w:rsidR="00191C7E" w:rsidRPr="00191C7E">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191C7E" w:rsidRPr="00191C7E">
                                <w:trPr>
                                  <w:tblCellSpacing w:w="0" w:type="dxa"/>
                                </w:trPr>
                                <w:tc>
                                  <w:tcPr>
                                    <w:tcW w:w="0" w:type="auto"/>
                                    <w:tcBorders>
                                      <w:top w:val="nil"/>
                                      <w:left w:val="nil"/>
                                      <w:bottom w:val="nil"/>
                                      <w:right w:val="nil"/>
                                    </w:tcBorders>
                                    <w:hideMark/>
                                  </w:tcPr>
                                  <w:p w:rsidR="00191C7E" w:rsidRPr="00191C7E" w:rsidRDefault="00191C7E" w:rsidP="00191C7E">
                                    <w:pPr>
                                      <w:spacing w:after="0" w:line="255" w:lineRule="atLeast"/>
                                      <w:rPr>
                                        <w:rFonts w:ascii="Arial" w:eastAsia="Times New Roman" w:hAnsi="Arial" w:cs="Arial"/>
                                        <w:color w:val="50535A"/>
                                        <w:sz w:val="20"/>
                                        <w:szCs w:val="20"/>
                                        <w:lang w:eastAsia="en-GB"/>
                                      </w:rPr>
                                    </w:pPr>
                                    <w:r w:rsidRPr="00191C7E">
                                      <w:rPr>
                                        <w:rFonts w:ascii="Arial" w:eastAsia="Times New Roman" w:hAnsi="Arial" w:cs="Arial"/>
                                        <w:b/>
                                        <w:bCs/>
                                        <w:color w:val="50535A"/>
                                        <w:sz w:val="20"/>
                                        <w:szCs w:val="20"/>
                                        <w:lang w:eastAsia="en-GB"/>
                                      </w:rPr>
                                      <w:t xml:space="preserve">Farah </w:t>
                                    </w:r>
                                    <w:proofErr w:type="spellStart"/>
                                    <w:r w:rsidRPr="00191C7E">
                                      <w:rPr>
                                        <w:rFonts w:ascii="Arial" w:eastAsia="Times New Roman" w:hAnsi="Arial" w:cs="Arial"/>
                                        <w:b/>
                                        <w:bCs/>
                                        <w:color w:val="50535A"/>
                                        <w:sz w:val="20"/>
                                        <w:szCs w:val="20"/>
                                        <w:lang w:eastAsia="en-GB"/>
                                      </w:rPr>
                                      <w:t>Jameel</w:t>
                                    </w:r>
                                    <w:proofErr w:type="spellEnd"/>
                                    <w:r w:rsidRPr="00191C7E">
                                      <w:rPr>
                                        <w:rFonts w:ascii="Arial" w:eastAsia="Times New Roman" w:hAnsi="Arial" w:cs="Arial"/>
                                        <w:color w:val="50535A"/>
                                        <w:sz w:val="20"/>
                                        <w:szCs w:val="20"/>
                                        <w:lang w:eastAsia="en-GB"/>
                                      </w:rPr>
                                      <w:t> </w:t>
                                    </w:r>
                                  </w:p>
                                  <w:p w:rsidR="00191C7E" w:rsidRPr="00191C7E" w:rsidRDefault="00191C7E" w:rsidP="00191C7E">
                                    <w:pPr>
                                      <w:spacing w:after="0" w:line="255" w:lineRule="atLeast"/>
                                      <w:rPr>
                                        <w:rFonts w:ascii="Arial" w:eastAsia="Times New Roman" w:hAnsi="Arial" w:cs="Arial"/>
                                        <w:color w:val="50535A"/>
                                        <w:sz w:val="20"/>
                                        <w:szCs w:val="20"/>
                                        <w:lang w:eastAsia="en-GB"/>
                                      </w:rPr>
                                    </w:pPr>
                                    <w:r w:rsidRPr="00191C7E">
                                      <w:rPr>
                                        <w:rFonts w:ascii="Arial" w:eastAsia="Times New Roman" w:hAnsi="Arial" w:cs="Arial"/>
                                        <w:color w:val="50535A"/>
                                        <w:sz w:val="20"/>
                                        <w:szCs w:val="20"/>
                                        <w:lang w:eastAsia="en-GB"/>
                                      </w:rPr>
                                      <w:t>BMA GPs committee chair</w:t>
                                    </w:r>
                                  </w:p>
                                </w:tc>
                              </w:tr>
                            </w:tbl>
                            <w:p w:rsidR="00191C7E" w:rsidRPr="00191C7E" w:rsidRDefault="00191C7E" w:rsidP="00191C7E">
                              <w:pPr>
                                <w:spacing w:after="0" w:line="240" w:lineRule="auto"/>
                                <w:rPr>
                                  <w:rFonts w:ascii="Arial" w:eastAsia="Times New Roman" w:hAnsi="Arial" w:cs="Arial"/>
                                  <w:sz w:val="24"/>
                                  <w:szCs w:val="24"/>
                                  <w:lang w:eastAsia="en-GB"/>
                                </w:rPr>
                              </w:pPr>
                            </w:p>
                          </w:tc>
                        </w:tr>
                      </w:tbl>
                      <w:p w:rsidR="00191C7E" w:rsidRPr="00191C7E" w:rsidRDefault="00191C7E" w:rsidP="00191C7E">
                        <w:pPr>
                          <w:spacing w:after="0" w:line="240" w:lineRule="auto"/>
                          <w:jc w:val="center"/>
                          <w:textAlignment w:val="top"/>
                          <w:rPr>
                            <w:rFonts w:ascii="Arial" w:eastAsia="Times New Roman" w:hAnsi="Arial" w:cs="Arial"/>
                            <w:sz w:val="2"/>
                            <w:szCs w:val="2"/>
                            <w:lang w:eastAsia="en-GB"/>
                          </w:rPr>
                        </w:pPr>
                      </w:p>
                    </w:tc>
                  </w:tr>
                </w:tbl>
                <w:p w:rsidR="00191C7E" w:rsidRPr="00191C7E" w:rsidRDefault="00191C7E" w:rsidP="00191C7E">
                  <w:pPr>
                    <w:spacing w:after="0" w:line="240" w:lineRule="auto"/>
                    <w:rPr>
                      <w:rFonts w:ascii="Arial" w:eastAsia="Times New Roman" w:hAnsi="Arial" w:cs="Arial"/>
                      <w:sz w:val="24"/>
                      <w:szCs w:val="24"/>
                      <w:lang w:eastAsia="en-GB"/>
                    </w:rPr>
                  </w:pPr>
                </w:p>
              </w:tc>
            </w:tr>
          </w:tbl>
          <w:p w:rsidR="00191C7E" w:rsidRPr="00191C7E" w:rsidRDefault="00191C7E" w:rsidP="00191C7E">
            <w:pPr>
              <w:spacing w:after="0" w:line="240" w:lineRule="auto"/>
              <w:jc w:val="center"/>
              <w:textAlignment w:val="top"/>
              <w:rPr>
                <w:rFonts w:ascii="Arial" w:eastAsia="Times New Roman" w:hAnsi="Arial" w:cs="Arial"/>
                <w:color w:val="333333"/>
                <w:sz w:val="2"/>
                <w:szCs w:val="2"/>
                <w:lang w:eastAsia="en-GB"/>
              </w:rPr>
            </w:pPr>
          </w:p>
        </w:tc>
      </w:tr>
    </w:tbl>
    <w:p w:rsidR="005C220C" w:rsidRDefault="005C220C">
      <w:bookmarkStart w:id="0" w:name="_GoBack"/>
      <w:bookmarkEnd w:id="0"/>
    </w:p>
    <w:sectPr w:rsidR="005C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F3"/>
    <w:rsid w:val="00120BF3"/>
    <w:rsid w:val="00191C7E"/>
    <w:rsid w:val="005C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67">
      <w:bodyDiv w:val="1"/>
      <w:marLeft w:val="0"/>
      <w:marRight w:val="0"/>
      <w:marTop w:val="0"/>
      <w:marBottom w:val="0"/>
      <w:divBdr>
        <w:top w:val="none" w:sz="0" w:space="0" w:color="auto"/>
        <w:left w:val="none" w:sz="0" w:space="0" w:color="auto"/>
        <w:bottom w:val="none" w:sz="0" w:space="0" w:color="auto"/>
        <w:right w:val="none" w:sz="0" w:space="0" w:color="auto"/>
      </w:divBdr>
      <w:divsChild>
        <w:div w:id="1641493168">
          <w:marLeft w:val="0"/>
          <w:marRight w:val="0"/>
          <w:marTop w:val="0"/>
          <w:marBottom w:val="0"/>
          <w:divBdr>
            <w:top w:val="none" w:sz="0" w:space="0" w:color="auto"/>
            <w:left w:val="none" w:sz="0" w:space="0" w:color="auto"/>
            <w:bottom w:val="none" w:sz="0" w:space="0" w:color="auto"/>
            <w:right w:val="none" w:sz="0" w:space="0" w:color="auto"/>
          </w:divBdr>
        </w:div>
        <w:div w:id="370689206">
          <w:marLeft w:val="0"/>
          <w:marRight w:val="0"/>
          <w:marTop w:val="0"/>
          <w:marBottom w:val="0"/>
          <w:divBdr>
            <w:top w:val="none" w:sz="0" w:space="0" w:color="auto"/>
            <w:left w:val="none" w:sz="0" w:space="0" w:color="auto"/>
            <w:bottom w:val="none" w:sz="0" w:space="0" w:color="auto"/>
            <w:right w:val="none" w:sz="0" w:space="0" w:color="auto"/>
          </w:divBdr>
        </w:div>
        <w:div w:id="281573232">
          <w:marLeft w:val="0"/>
          <w:marRight w:val="0"/>
          <w:marTop w:val="0"/>
          <w:marBottom w:val="0"/>
          <w:divBdr>
            <w:top w:val="none" w:sz="0" w:space="0" w:color="auto"/>
            <w:left w:val="none" w:sz="0" w:space="0" w:color="auto"/>
            <w:bottom w:val="none" w:sz="0" w:space="0" w:color="auto"/>
            <w:right w:val="none" w:sz="0" w:space="0" w:color="auto"/>
          </w:divBdr>
        </w:div>
        <w:div w:id="1610508277">
          <w:marLeft w:val="0"/>
          <w:marRight w:val="0"/>
          <w:marTop w:val="0"/>
          <w:marBottom w:val="0"/>
          <w:divBdr>
            <w:top w:val="none" w:sz="0" w:space="0" w:color="auto"/>
            <w:left w:val="none" w:sz="0" w:space="0" w:color="auto"/>
            <w:bottom w:val="none" w:sz="0" w:space="0" w:color="auto"/>
            <w:right w:val="none" w:sz="0" w:space="0" w:color="auto"/>
          </w:divBdr>
        </w:div>
        <w:div w:id="623461498">
          <w:marLeft w:val="0"/>
          <w:marRight w:val="0"/>
          <w:marTop w:val="0"/>
          <w:marBottom w:val="0"/>
          <w:divBdr>
            <w:top w:val="none" w:sz="0" w:space="0" w:color="auto"/>
            <w:left w:val="none" w:sz="0" w:space="0" w:color="auto"/>
            <w:bottom w:val="none" w:sz="0" w:space="0" w:color="auto"/>
            <w:right w:val="none" w:sz="0" w:space="0" w:color="auto"/>
          </w:divBdr>
        </w:div>
        <w:div w:id="999845787">
          <w:marLeft w:val="0"/>
          <w:marRight w:val="0"/>
          <w:marTop w:val="0"/>
          <w:marBottom w:val="0"/>
          <w:divBdr>
            <w:top w:val="none" w:sz="0" w:space="0" w:color="auto"/>
            <w:left w:val="none" w:sz="0" w:space="0" w:color="auto"/>
            <w:bottom w:val="none" w:sz="0" w:space="0" w:color="auto"/>
            <w:right w:val="none" w:sz="0" w:space="0" w:color="auto"/>
          </w:divBdr>
        </w:div>
        <w:div w:id="887181007">
          <w:marLeft w:val="0"/>
          <w:marRight w:val="0"/>
          <w:marTop w:val="0"/>
          <w:marBottom w:val="0"/>
          <w:divBdr>
            <w:top w:val="none" w:sz="0" w:space="0" w:color="auto"/>
            <w:left w:val="none" w:sz="0" w:space="0" w:color="auto"/>
            <w:bottom w:val="none" w:sz="0" w:space="0" w:color="auto"/>
            <w:right w:val="none" w:sz="0" w:space="0" w:color="auto"/>
          </w:divBdr>
        </w:div>
        <w:div w:id="1530141512">
          <w:marLeft w:val="0"/>
          <w:marRight w:val="0"/>
          <w:marTop w:val="0"/>
          <w:marBottom w:val="0"/>
          <w:divBdr>
            <w:top w:val="none" w:sz="0" w:space="0" w:color="auto"/>
            <w:left w:val="none" w:sz="0" w:space="0" w:color="auto"/>
            <w:bottom w:val="none" w:sz="0" w:space="0" w:color="auto"/>
            <w:right w:val="none" w:sz="0" w:space="0" w:color="auto"/>
          </w:divBdr>
          <w:divsChild>
            <w:div w:id="112557081">
              <w:marLeft w:val="0"/>
              <w:marRight w:val="0"/>
              <w:marTop w:val="0"/>
              <w:marBottom w:val="0"/>
              <w:divBdr>
                <w:top w:val="none" w:sz="0" w:space="0" w:color="auto"/>
                <w:left w:val="none" w:sz="0" w:space="0" w:color="auto"/>
                <w:bottom w:val="none" w:sz="0" w:space="0" w:color="auto"/>
                <w:right w:val="none" w:sz="0" w:space="0" w:color="auto"/>
              </w:divBdr>
            </w:div>
            <w:div w:id="19471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a-mail.org.uk/JVX-8305R-36I8OS-4YR02O-1/c.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ma-mail.org.uk/JVX-8305R-36I8OS-4YR02N-1/c.aspx" TargetMode="External"/><Relationship Id="rId11" Type="http://schemas.openxmlformats.org/officeDocument/2006/relationships/image" Target="media/image2.jpeg"/><Relationship Id="rId5" Type="http://schemas.openxmlformats.org/officeDocument/2006/relationships/hyperlink" Target="https://bma-mail.org.uk/JVX-8305R-36I8OS-4YR09L-1/c.aspx" TargetMode="External"/><Relationship Id="rId10" Type="http://schemas.openxmlformats.org/officeDocument/2006/relationships/hyperlink" Target="mailto:info.gpc@bma.org.uk?subject=Patient%20access%20to%20medical%20records" TargetMode="External"/><Relationship Id="rId4" Type="http://schemas.openxmlformats.org/officeDocument/2006/relationships/webSettings" Target="webSettings.xml"/><Relationship Id="rId9" Type="http://schemas.openxmlformats.org/officeDocument/2006/relationships/hyperlink" Target="https://bma-mail.org.uk/JVX-8305R-36I8OS-4YQIQF-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2022-11-03T10:01:00Z</dcterms:created>
  <dcterms:modified xsi:type="dcterms:W3CDTF">2022-11-03T10:01:00Z</dcterms:modified>
</cp:coreProperties>
</file>