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D29EA" w14:textId="77777777" w:rsidR="00D52916" w:rsidRPr="00751BD2" w:rsidRDefault="00D52916" w:rsidP="00D52916">
      <w:pPr>
        <w:pStyle w:val="Title"/>
      </w:pPr>
      <w:bookmarkStart w:id="0" w:name="_Toc114220858"/>
      <w:bookmarkStart w:id="1" w:name="_Toc114221020"/>
      <w:bookmarkStart w:id="2" w:name="_GoBack"/>
      <w:bookmarkEnd w:id="2"/>
      <w:r w:rsidRPr="00951728">
        <w:t>NICE Indicator Programme</w:t>
      </w:r>
      <w:bookmarkEnd w:id="0"/>
      <w:bookmarkEnd w:id="1"/>
    </w:p>
    <w:p w14:paraId="0E6DFCCF" w14:textId="14EC780D" w:rsidR="00D52916" w:rsidRPr="00751BD2" w:rsidRDefault="00D52916" w:rsidP="00D52916">
      <w:pPr>
        <w:pStyle w:val="Title"/>
        <w:rPr>
          <w:szCs w:val="40"/>
        </w:rPr>
      </w:pPr>
      <w:bookmarkStart w:id="3" w:name="_Toc372816409"/>
      <w:bookmarkStart w:id="4" w:name="_Toc374020069"/>
      <w:bookmarkStart w:id="5" w:name="_Toc374020137"/>
      <w:bookmarkStart w:id="6" w:name="_Toc374020240"/>
      <w:bookmarkStart w:id="7" w:name="_Toc406418758"/>
      <w:bookmarkStart w:id="8" w:name="_Toc406504238"/>
      <w:bookmarkStart w:id="9" w:name="_Toc406504648"/>
      <w:bookmarkStart w:id="10" w:name="_Toc406596718"/>
      <w:bookmarkStart w:id="11" w:name="_Toc407001866"/>
      <w:bookmarkStart w:id="12" w:name="_Toc409073403"/>
      <w:bookmarkStart w:id="13" w:name="_Toc469493188"/>
      <w:bookmarkStart w:id="14" w:name="_Toc470085038"/>
      <w:bookmarkStart w:id="15" w:name="_Toc470859119"/>
      <w:bookmarkStart w:id="16" w:name="_Toc470859363"/>
      <w:bookmarkStart w:id="17" w:name="_Toc470859740"/>
      <w:bookmarkStart w:id="18" w:name="_Toc472681501"/>
      <w:bookmarkStart w:id="19" w:name="_Toc472689030"/>
      <w:bookmarkStart w:id="20" w:name="_Toc114220859"/>
      <w:bookmarkStart w:id="21" w:name="_Toc114221021"/>
      <w:r>
        <w:t xml:space="preserve">BMA </w:t>
      </w:r>
      <w:r w:rsidRPr="00951728">
        <w:t>Consultation on new NICE indicators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C883BFC" w14:textId="77777777" w:rsidR="00D52916" w:rsidRPr="00711965" w:rsidRDefault="00D52916" w:rsidP="00D52916">
      <w:pPr>
        <w:pStyle w:val="NICEnormal"/>
        <w:spacing w:after="120"/>
        <w:rPr>
          <w:b/>
          <w:sz w:val="8"/>
          <w:szCs w:val="8"/>
        </w:rPr>
      </w:pPr>
      <w:bookmarkStart w:id="22" w:name="_Toc469493189"/>
      <w:bookmarkStart w:id="23" w:name="_Toc470085039"/>
      <w:bookmarkStart w:id="24" w:name="_Toc470859120"/>
      <w:bookmarkStart w:id="25" w:name="_Toc470859364"/>
      <w:bookmarkStart w:id="26" w:name="_Toc470859741"/>
      <w:bookmarkStart w:id="27" w:name="_Toc472681502"/>
      <w:bookmarkStart w:id="28" w:name="_Toc472689031"/>
      <w:bookmarkStart w:id="29" w:name="_Toc506470402"/>
    </w:p>
    <w:bookmarkEnd w:id="22"/>
    <w:bookmarkEnd w:id="23"/>
    <w:bookmarkEnd w:id="24"/>
    <w:bookmarkEnd w:id="25"/>
    <w:bookmarkEnd w:id="26"/>
    <w:bookmarkEnd w:id="27"/>
    <w:bookmarkEnd w:id="28"/>
    <w:bookmarkEnd w:id="29"/>
    <w:p w14:paraId="01720187" w14:textId="370C5926" w:rsidR="00D52916" w:rsidRPr="00751BD2" w:rsidRDefault="00D52916" w:rsidP="00D52916">
      <w:pPr>
        <w:pStyle w:val="Heading1"/>
      </w:pPr>
      <w:r>
        <w:t xml:space="preserve">Please return this form to </w:t>
      </w:r>
      <w:hyperlink r:id="rId9" w:history="1">
        <w:r>
          <w:rPr>
            <w:rStyle w:val="Hyperlink"/>
            <w:lang w:val="en-US" w:eastAsia="en-GB"/>
          </w:rPr>
          <w:t>info.lmcqueries@bma.org.uk</w:t>
        </w:r>
      </w:hyperlink>
      <w:r>
        <w:rPr>
          <w:lang w:val="en-US" w:eastAsia="en-GB"/>
        </w:rPr>
        <w:t xml:space="preserve"> by 5pm Friday 14 October 2022.</w:t>
      </w:r>
    </w:p>
    <w:p w14:paraId="0DB13664" w14:textId="77777777" w:rsidR="00D52916" w:rsidRDefault="00D52916" w:rsidP="00D52916">
      <w:pPr>
        <w:pStyle w:val="Paragraphnonumbers"/>
      </w:pPr>
      <w:r w:rsidRPr="000F36B5">
        <w:t>Th</w:t>
      </w:r>
      <w:r>
        <w:t xml:space="preserve">is consultation presents </w:t>
      </w:r>
      <w:r w:rsidRPr="00B82225">
        <w:t>new</w:t>
      </w:r>
      <w:r>
        <w:t xml:space="preserve"> indicators on: </w:t>
      </w:r>
    </w:p>
    <w:p w14:paraId="62806375" w14:textId="77777777" w:rsidR="00D52916" w:rsidRPr="00A64A5C" w:rsidRDefault="00D52916" w:rsidP="00D52916">
      <w:pPr>
        <w:pStyle w:val="Bullets"/>
        <w:tabs>
          <w:tab w:val="clear" w:pos="993"/>
        </w:tabs>
        <w:spacing w:after="120" w:line="276" w:lineRule="auto"/>
        <w:ind w:left="1134" w:hanging="454"/>
      </w:pPr>
      <w:r w:rsidRPr="00A64A5C">
        <w:t>Physical health monitoring for people with serious mental illness</w:t>
      </w:r>
    </w:p>
    <w:p w14:paraId="72746FA2" w14:textId="77777777" w:rsidR="00D52916" w:rsidRPr="00A64A5C" w:rsidRDefault="00D52916" w:rsidP="00D52916">
      <w:pPr>
        <w:pStyle w:val="Bullets"/>
        <w:tabs>
          <w:tab w:val="clear" w:pos="993"/>
        </w:tabs>
        <w:spacing w:after="120" w:line="276" w:lineRule="auto"/>
        <w:ind w:left="1134" w:hanging="454"/>
      </w:pPr>
      <w:r w:rsidRPr="00A64A5C">
        <w:t xml:space="preserve">Anticoagulation for people with atrial fibrillation </w:t>
      </w:r>
    </w:p>
    <w:p w14:paraId="77EB8033" w14:textId="77777777" w:rsidR="00D52916" w:rsidRPr="00A64A5C" w:rsidRDefault="00D52916" w:rsidP="00D52916">
      <w:pPr>
        <w:pStyle w:val="Bullets"/>
        <w:tabs>
          <w:tab w:val="clear" w:pos="993"/>
        </w:tabs>
        <w:spacing w:after="120" w:line="276" w:lineRule="auto"/>
        <w:ind w:left="1134" w:hanging="454"/>
      </w:pPr>
      <w:r>
        <w:t>Lipid modification: secondary prevention</w:t>
      </w:r>
      <w:r w:rsidRPr="00A64A5C">
        <w:t xml:space="preserve">  </w:t>
      </w:r>
    </w:p>
    <w:p w14:paraId="20A22987" w14:textId="77777777" w:rsidR="00D52916" w:rsidRPr="00A64A5C" w:rsidRDefault="00D52916" w:rsidP="00D52916">
      <w:pPr>
        <w:pStyle w:val="Bullets"/>
        <w:tabs>
          <w:tab w:val="clear" w:pos="993"/>
        </w:tabs>
        <w:spacing w:after="120" w:line="276" w:lineRule="auto"/>
        <w:ind w:left="1134" w:hanging="454"/>
      </w:pPr>
      <w:r w:rsidRPr="00A64A5C">
        <w:t xml:space="preserve">Blood pressure control and pharmacological management for people with chronic kidney disease </w:t>
      </w:r>
    </w:p>
    <w:p w14:paraId="38BCDB82" w14:textId="77777777" w:rsidR="00D52916" w:rsidRPr="00DC0346" w:rsidRDefault="00D52916" w:rsidP="00D52916">
      <w:pPr>
        <w:pStyle w:val="Paragraphnonumbers"/>
      </w:pPr>
      <w:r>
        <w:t xml:space="preserve">General </w:t>
      </w:r>
      <w:r w:rsidRPr="004A287F">
        <w:t>practice</w:t>
      </w:r>
      <w:r>
        <w:t xml:space="preserve"> i</w:t>
      </w:r>
      <w:r w:rsidRPr="00DC0346">
        <w:t>ndicators may be assessed as suitable for inclusion in the Quality and Outcomes Framework (QOF). QOF forms part of the GMS contract</w:t>
      </w:r>
      <w:r>
        <w:t>.</w:t>
      </w:r>
      <w:r w:rsidRPr="00DC0346">
        <w:t xml:space="preserve"> </w:t>
      </w:r>
      <w:r>
        <w:t xml:space="preserve">The </w:t>
      </w:r>
      <w:r w:rsidRPr="00DC0346">
        <w:t>content of QOF is determined by negotiations between NHS England and the BMA’s General Practitioners Committee.</w:t>
      </w:r>
    </w:p>
    <w:p w14:paraId="5338BA76" w14:textId="0B5E9740" w:rsidR="00D52916" w:rsidRDefault="00D52916" w:rsidP="00D52916">
      <w:pPr>
        <w:pStyle w:val="Paragraphnonumbers"/>
      </w:pPr>
      <w:bookmarkStart w:id="30" w:name="_Toc115101568"/>
      <w:bookmarkStart w:id="31" w:name="_Toc517187781"/>
      <w:bookmarkStart w:id="32" w:name="_Toc517190342"/>
      <w:bookmarkStart w:id="33" w:name="_Hlk3557960"/>
      <w:r w:rsidRPr="00D52916">
        <w:t>There are four generic questions associated with each indicator, as well as some indicator-specific questions. You can also enter your own</w:t>
      </w:r>
      <w:r w:rsidR="00D72624">
        <w:t xml:space="preserve"> general</w:t>
      </w:r>
      <w:r w:rsidRPr="00D52916">
        <w:t xml:space="preserve"> comments</w:t>
      </w:r>
      <w:r w:rsidR="00D72624">
        <w:t>.</w:t>
      </w:r>
    </w:p>
    <w:p w14:paraId="247255DB" w14:textId="77777777" w:rsidR="00D52916" w:rsidRDefault="00D52916">
      <w:pPr>
        <w:spacing w:after="160" w:line="259" w:lineRule="auto"/>
        <w:rPr>
          <w:rFonts w:ascii="Arial" w:hAnsi="Arial"/>
        </w:rPr>
      </w:pPr>
      <w:r>
        <w:br w:type="page"/>
      </w:r>
    </w:p>
    <w:p w14:paraId="51546F1A" w14:textId="77777777" w:rsidR="00D52916" w:rsidRDefault="00D52916" w:rsidP="00D52916">
      <w:pPr>
        <w:pStyle w:val="Heading1"/>
        <w:sectPr w:rsidR="00D52916">
          <w:pgSz w:w="11906" w:h="16838"/>
          <w:pgMar w:top="1440" w:right="1440" w:bottom="1440" w:left="1440" w:header="708" w:footer="708" w:gutter="0"/>
          <w:cols w:space="708"/>
          <w:docGrid w:linePitch="360"/>
        </w:sectPr>
      </w:pPr>
    </w:p>
    <w:p w14:paraId="48E9C32E" w14:textId="42562B57" w:rsidR="00D52916" w:rsidRDefault="00D52916" w:rsidP="00D52916">
      <w:pPr>
        <w:pStyle w:val="Heading1"/>
      </w:pPr>
      <w:r>
        <w:lastRenderedPageBreak/>
        <w:t>Mental health: physical health checks</w:t>
      </w:r>
      <w:bookmarkEnd w:id="30"/>
    </w:p>
    <w:p w14:paraId="4AF19F5D" w14:textId="77777777" w:rsidR="00D52916" w:rsidRDefault="00D52916" w:rsidP="00D52916">
      <w:pPr>
        <w:pStyle w:val="Paragraphnonumbers"/>
      </w:pPr>
      <w:r>
        <w:t xml:space="preserve">IND2022-127: </w:t>
      </w:r>
      <w:r w:rsidRPr="00CE2FB3">
        <w:t>Percentage of patients with schizophrenia, bipolar affective disorder and other psychoses who, in the preceding 12 months, received all six elements of physical health check</w:t>
      </w:r>
      <w:r>
        <w:t>s</w:t>
      </w:r>
      <w:r w:rsidRPr="00CE2FB3">
        <w:t xml:space="preserve"> for people with severe mental illness.</w:t>
      </w:r>
      <w:r w:rsidRPr="00CE2FB3">
        <w:rPr>
          <w:highlight w:val="lightGray"/>
        </w:rPr>
        <w:t xml:space="preserve"> </w:t>
      </w:r>
      <w:r>
        <w:t xml:space="preserve"> </w:t>
      </w:r>
    </w:p>
    <w:p w14:paraId="327BA2F4" w14:textId="77777777" w:rsidR="00D52916" w:rsidRDefault="00D52916" w:rsidP="00D52916">
      <w:pPr>
        <w:pStyle w:val="Heading2"/>
      </w:pPr>
      <w:r>
        <w:t>Indicator type</w:t>
      </w:r>
    </w:p>
    <w:p w14:paraId="4C274142" w14:textId="77777777" w:rsidR="00D52916" w:rsidRPr="00CE2FB3" w:rsidRDefault="00D52916" w:rsidP="00D52916">
      <w:pPr>
        <w:pStyle w:val="Paragraphnonumbers"/>
      </w:pPr>
      <w:r w:rsidRPr="00CE2FB3">
        <w:t>General practice indicator suitable for use in the QOF</w:t>
      </w:r>
      <w:r>
        <w:t>.</w:t>
      </w:r>
    </w:p>
    <w:p w14:paraId="18FF59EB" w14:textId="77777777" w:rsidR="00D52916" w:rsidRDefault="00D52916" w:rsidP="00D52916">
      <w:pPr>
        <w:pStyle w:val="Heading2"/>
      </w:pPr>
      <w:r>
        <w:t>Rationale</w:t>
      </w:r>
    </w:p>
    <w:p w14:paraId="17295727" w14:textId="77777777" w:rsidR="00D52916" w:rsidRDefault="00D52916" w:rsidP="00D52916">
      <w:pPr>
        <w:pStyle w:val="Paragraphnonumbers"/>
      </w:pPr>
      <w:r w:rsidRPr="00CE2FB3">
        <w:rPr>
          <w:rFonts w:cs="Arial"/>
        </w:rPr>
        <w:t xml:space="preserve">The aim of the annual checks is to identify and address risk factors linked to premature death. People with </w:t>
      </w:r>
      <w:r>
        <w:rPr>
          <w:rFonts w:cs="Arial"/>
        </w:rPr>
        <w:t>severe mental illness (</w:t>
      </w:r>
      <w:r w:rsidRPr="00CE2FB3">
        <w:rPr>
          <w:rFonts w:cs="Arial"/>
        </w:rPr>
        <w:t>SMI</w:t>
      </w:r>
      <w:r>
        <w:rPr>
          <w:rFonts w:cs="Arial"/>
        </w:rPr>
        <w:t>)</w:t>
      </w:r>
      <w:r w:rsidRPr="00CE2FB3">
        <w:rPr>
          <w:rFonts w:cs="Arial"/>
        </w:rPr>
        <w:t xml:space="preserve"> are at a greater risk of poor physical health and die on average 15 to 20 years earlier than the general population. Major causes of death in people with SMI include cardiovascular disease, respiratory disease, diabetes and hypertension (</w:t>
      </w:r>
      <w:hyperlink r:id="rId10" w:history="1">
        <w:r w:rsidRPr="0014115D">
          <w:rPr>
            <w:rStyle w:val="Hyperlink"/>
            <w:rFonts w:cs="Arial"/>
          </w:rPr>
          <w:t>PHE 2018</w:t>
        </w:r>
      </w:hyperlink>
      <w:r>
        <w:rPr>
          <w:rFonts w:cs="Arial"/>
        </w:rPr>
        <w:t>). Individual indicators on the provision of these health checks are already part of the NICE indicator menu and included in the QOF.</w:t>
      </w:r>
    </w:p>
    <w:p w14:paraId="28013149" w14:textId="77777777" w:rsidR="00D52916" w:rsidRPr="00CE2FB3" w:rsidRDefault="00D52916" w:rsidP="00D52916">
      <w:pPr>
        <w:pStyle w:val="Paragraphnonumbers"/>
      </w:pPr>
      <w:r>
        <w:t>Current practice data show that in many cases people with SMI do not receive all six elements of the physical health check (</w:t>
      </w:r>
      <w:hyperlink r:id="rId11" w:history="1">
        <w:r w:rsidRPr="0014115D">
          <w:rPr>
            <w:rStyle w:val="Hyperlink"/>
            <w:rFonts w:cs="Arial"/>
          </w:rPr>
          <w:t>NHS England 2022</w:t>
        </w:r>
      </w:hyperlink>
      <w:r>
        <w:rPr>
          <w:rFonts w:cs="Arial"/>
        </w:rPr>
        <w:t>)</w:t>
      </w:r>
      <w:r>
        <w:t xml:space="preserve">. It is expected that this indicator, incorporating all six elements of the physical health check, will increase the number of people with SMI who receive these checks annually. </w:t>
      </w:r>
    </w:p>
    <w:p w14:paraId="50CC8740" w14:textId="77777777" w:rsidR="00D52916" w:rsidRDefault="00D52916" w:rsidP="00D52916">
      <w:pPr>
        <w:pStyle w:val="Heading2"/>
      </w:pPr>
      <w:r>
        <w:t xml:space="preserve">Source guidance  </w:t>
      </w:r>
    </w:p>
    <w:p w14:paraId="516D71E6" w14:textId="77777777" w:rsidR="00D52916" w:rsidRDefault="002B3262" w:rsidP="00D52916">
      <w:pPr>
        <w:pStyle w:val="Paragraphnonumbers"/>
      </w:pPr>
      <w:hyperlink r:id="rId12" w:history="1">
        <w:r w:rsidR="00D52916">
          <w:rPr>
            <w:rStyle w:val="Hyperlink"/>
          </w:rPr>
          <w:t>NICE’s guideline on psychosis and schizophrenia in adults: prevention and management</w:t>
        </w:r>
      </w:hyperlink>
      <w:r w:rsidR="00D52916">
        <w:t xml:space="preserve"> (2014)</w:t>
      </w:r>
      <w:r w:rsidR="00D52916" w:rsidRPr="00A63C8A">
        <w:t xml:space="preserve"> recommendation</w:t>
      </w:r>
      <w:r w:rsidR="00D52916">
        <w:t>s 1.1.3.3, 1.1.3.6, 1.3.3.4, 1.3.6.1, 1.5.3.2 and 1.5.3.3</w:t>
      </w:r>
      <w:r w:rsidR="00D52916" w:rsidRPr="00A63C8A">
        <w:t>.</w:t>
      </w:r>
    </w:p>
    <w:p w14:paraId="6EB7619D" w14:textId="77777777" w:rsidR="00D52916" w:rsidRDefault="002B3262" w:rsidP="00D52916">
      <w:pPr>
        <w:pStyle w:val="Paragraphnonumbers"/>
      </w:pPr>
      <w:hyperlink r:id="rId13" w:history="1">
        <w:r w:rsidR="00D52916">
          <w:rPr>
            <w:rStyle w:val="Hyperlink"/>
            <w:rFonts w:cs="Arial"/>
          </w:rPr>
          <w:t>NICE’s guideline on bipolar disorder</w:t>
        </w:r>
      </w:hyperlink>
      <w:r w:rsidR="00D52916" w:rsidRPr="00A63C8A">
        <w:t xml:space="preserve"> </w:t>
      </w:r>
      <w:r w:rsidR="00D52916">
        <w:t>(2014, updated 2020) recommendations 1.2.4, 1.2.12, 1.3.4 and 1.9.4.</w:t>
      </w:r>
    </w:p>
    <w:p w14:paraId="0C28B4CE" w14:textId="77777777" w:rsidR="00D52916" w:rsidRDefault="002B3262" w:rsidP="00D52916">
      <w:pPr>
        <w:pStyle w:val="Paragraphnonumbers"/>
        <w:rPr>
          <w:b/>
          <w:bCs/>
        </w:rPr>
      </w:pPr>
      <w:hyperlink r:id="rId14" w:history="1">
        <w:r w:rsidR="00D52916">
          <w:rPr>
            <w:rStyle w:val="Hyperlink"/>
          </w:rPr>
          <w:t>NICE’s guideline on alcohol-use disorders: prevention</w:t>
        </w:r>
      </w:hyperlink>
      <w:r w:rsidR="00D52916">
        <w:t xml:space="preserve"> (2010) recommendations 6, 7 and 9.</w:t>
      </w:r>
    </w:p>
    <w:p w14:paraId="10AD048D" w14:textId="12A4F3A4" w:rsidR="00D52916" w:rsidRDefault="00D52916" w:rsidP="00D52916"/>
    <w:p w14:paraId="5D238C67" w14:textId="37CE439B" w:rsidR="00D52916" w:rsidRDefault="00D52916" w:rsidP="00D52916"/>
    <w:p w14:paraId="7F045245" w14:textId="77777777" w:rsidR="00D52916" w:rsidRDefault="00D52916" w:rsidP="00D52916">
      <w:pPr>
        <w:rPr>
          <w:rFonts w:ascii="Arial" w:hAnsi="Arial" w:cs="Arial"/>
          <w:b/>
          <w:bCs/>
          <w:color w:val="228096"/>
          <w:sz w:val="28"/>
          <w:szCs w:val="28"/>
          <w:lang w:eastAsia="en-US"/>
        </w:rPr>
      </w:pPr>
    </w:p>
    <w:p w14:paraId="58945429" w14:textId="77777777" w:rsidR="00D52916" w:rsidRDefault="00D52916" w:rsidP="00D52916">
      <w:pPr>
        <w:pStyle w:val="Heading2"/>
      </w:pPr>
      <w:r>
        <w:t>Specification</w:t>
      </w:r>
    </w:p>
    <w:p w14:paraId="4D6D98E9" w14:textId="77777777" w:rsidR="00D52916" w:rsidRDefault="00D52916" w:rsidP="00D52916">
      <w:pPr>
        <w:pStyle w:val="Paragraphnonumbers"/>
      </w:pPr>
      <w:r>
        <w:t xml:space="preserve">Numerator: </w:t>
      </w:r>
      <w:r w:rsidRPr="00752914">
        <w:t xml:space="preserve">the number in the denominator who, in the preceding 12 months, received all six elements of </w:t>
      </w:r>
      <w:r>
        <w:t>p</w:t>
      </w:r>
      <w:r w:rsidRPr="00752914">
        <w:t xml:space="preserve">hysical </w:t>
      </w:r>
      <w:r>
        <w:t>h</w:t>
      </w:r>
      <w:r w:rsidRPr="00752914">
        <w:t xml:space="preserve">ealth </w:t>
      </w:r>
      <w:r>
        <w:t>c</w:t>
      </w:r>
      <w:r w:rsidRPr="00752914">
        <w:t>heck</w:t>
      </w:r>
      <w:r>
        <w:t>s</w:t>
      </w:r>
      <w:r w:rsidRPr="00752914">
        <w:t xml:space="preserve"> for people with </w:t>
      </w:r>
      <w:r>
        <w:t>s</w:t>
      </w:r>
      <w:r w:rsidRPr="00752914">
        <w:t xml:space="preserve">evere </w:t>
      </w:r>
      <w:r>
        <w:t>m</w:t>
      </w:r>
      <w:r w:rsidRPr="00752914">
        <w:t xml:space="preserve">ental </w:t>
      </w:r>
      <w:r>
        <w:t>i</w:t>
      </w:r>
      <w:r w:rsidRPr="00752914">
        <w:t>llness.</w:t>
      </w:r>
      <w:r w:rsidRPr="00752914">
        <w:rPr>
          <w:highlight w:val="lightGray"/>
        </w:rPr>
        <w:t xml:space="preserve"> </w:t>
      </w:r>
    </w:p>
    <w:p w14:paraId="009011B1" w14:textId="77777777" w:rsidR="00D52916" w:rsidRPr="00867CDA" w:rsidRDefault="00D52916" w:rsidP="00D52916">
      <w:pPr>
        <w:pStyle w:val="Paragraphnonumbers"/>
      </w:pPr>
      <w:r>
        <w:t xml:space="preserve">Denominator: the </w:t>
      </w:r>
      <w:r w:rsidRPr="00752914">
        <w:t>total number of registered patients with a diagnosis of schizophrenia, bipolar affective disorder and other psychoses.</w:t>
      </w:r>
    </w:p>
    <w:p w14:paraId="32036E1F" w14:textId="77777777" w:rsidR="00D52916" w:rsidRPr="003C6EBD" w:rsidRDefault="00D52916" w:rsidP="00D52916">
      <w:pPr>
        <w:pStyle w:val="Paragraph"/>
        <w:spacing w:before="120" w:after="120"/>
        <w:rPr>
          <w:rFonts w:cs="Arial"/>
          <w:color w:val="000000"/>
          <w:kern w:val="24"/>
        </w:rPr>
      </w:pPr>
      <w:r w:rsidRPr="003C6EBD">
        <w:rPr>
          <w:rFonts w:cs="Arial"/>
        </w:rPr>
        <w:t xml:space="preserve">Definition: </w:t>
      </w:r>
      <w:r>
        <w:rPr>
          <w:rFonts w:cs="Arial"/>
        </w:rPr>
        <w:t xml:space="preserve">The six </w:t>
      </w:r>
      <w:r w:rsidRPr="003C6EBD">
        <w:rPr>
          <w:rFonts w:cs="Arial"/>
          <w:color w:val="000000"/>
          <w:kern w:val="24"/>
        </w:rPr>
        <w:t>elements of physical health check</w:t>
      </w:r>
      <w:r>
        <w:rPr>
          <w:rFonts w:cs="Arial"/>
          <w:color w:val="000000"/>
          <w:kern w:val="24"/>
        </w:rPr>
        <w:t>s</w:t>
      </w:r>
      <w:r w:rsidRPr="003C6EBD">
        <w:rPr>
          <w:rFonts w:cs="Arial"/>
          <w:color w:val="000000"/>
          <w:kern w:val="24"/>
        </w:rPr>
        <w:t xml:space="preserve"> </w:t>
      </w:r>
      <w:r>
        <w:rPr>
          <w:rFonts w:cs="Arial"/>
          <w:color w:val="000000"/>
          <w:kern w:val="24"/>
        </w:rPr>
        <w:t>are</w:t>
      </w:r>
      <w:r w:rsidRPr="003C6EBD">
        <w:rPr>
          <w:rFonts w:cs="Arial"/>
          <w:color w:val="000000"/>
          <w:kern w:val="24"/>
        </w:rPr>
        <w:t>:</w:t>
      </w:r>
    </w:p>
    <w:p w14:paraId="6DE0D696" w14:textId="77777777" w:rsidR="00E22C4D" w:rsidRDefault="00E22C4D" w:rsidP="00D52916">
      <w:pPr>
        <w:pStyle w:val="Paragraph"/>
        <w:numPr>
          <w:ilvl w:val="0"/>
          <w:numId w:val="3"/>
        </w:numPr>
        <w:spacing w:line="276" w:lineRule="auto"/>
        <w:rPr>
          <w:rFonts w:cs="Arial"/>
          <w:color w:val="000000"/>
          <w:kern w:val="24"/>
        </w:rPr>
        <w:sectPr w:rsidR="00E22C4D" w:rsidSect="00D52916">
          <w:pgSz w:w="16838" w:h="11906" w:orient="landscape"/>
          <w:pgMar w:top="1440" w:right="1440" w:bottom="1440" w:left="1440" w:header="709" w:footer="709" w:gutter="0"/>
          <w:cols w:space="708"/>
          <w:docGrid w:linePitch="360"/>
        </w:sectPr>
      </w:pPr>
    </w:p>
    <w:p w14:paraId="48A4654B" w14:textId="77777777" w:rsidR="00D52916" w:rsidRPr="003C6EBD" w:rsidRDefault="00D52916" w:rsidP="00D52916">
      <w:pPr>
        <w:pStyle w:val="Paragraph"/>
        <w:numPr>
          <w:ilvl w:val="0"/>
          <w:numId w:val="3"/>
        </w:numPr>
        <w:spacing w:line="276" w:lineRule="auto"/>
        <w:rPr>
          <w:rFonts w:cs="Arial"/>
          <w:color w:val="000000"/>
          <w:kern w:val="24"/>
        </w:rPr>
      </w:pPr>
      <w:r w:rsidRPr="003C6EBD">
        <w:rPr>
          <w:rFonts w:cs="Arial"/>
          <w:color w:val="000000"/>
          <w:kern w:val="24"/>
        </w:rPr>
        <w:lastRenderedPageBreak/>
        <w:t>a record of blood pressure.</w:t>
      </w:r>
    </w:p>
    <w:p w14:paraId="65CEBEE8" w14:textId="77777777" w:rsidR="00D52916" w:rsidRPr="003C6EBD" w:rsidRDefault="00D52916" w:rsidP="00D52916">
      <w:pPr>
        <w:pStyle w:val="Paragraph"/>
        <w:numPr>
          <w:ilvl w:val="0"/>
          <w:numId w:val="3"/>
        </w:numPr>
        <w:spacing w:line="276" w:lineRule="auto"/>
        <w:rPr>
          <w:rFonts w:cs="Arial"/>
          <w:color w:val="000000"/>
          <w:kern w:val="24"/>
        </w:rPr>
      </w:pPr>
      <w:r w:rsidRPr="003C6EBD">
        <w:rPr>
          <w:rFonts w:cs="Arial"/>
          <w:color w:val="000000"/>
          <w:kern w:val="24"/>
        </w:rPr>
        <w:t>a record of BMI.</w:t>
      </w:r>
    </w:p>
    <w:p w14:paraId="477EA58B" w14:textId="77777777" w:rsidR="00D52916" w:rsidRPr="003C6EBD" w:rsidRDefault="00D52916" w:rsidP="00D52916">
      <w:pPr>
        <w:pStyle w:val="Paragraph"/>
        <w:numPr>
          <w:ilvl w:val="0"/>
          <w:numId w:val="3"/>
        </w:numPr>
        <w:spacing w:line="276" w:lineRule="auto"/>
        <w:rPr>
          <w:rFonts w:cs="Arial"/>
          <w:color w:val="000000"/>
          <w:kern w:val="24"/>
        </w:rPr>
      </w:pPr>
      <w:r w:rsidRPr="003C6EBD">
        <w:rPr>
          <w:rFonts w:cs="Arial"/>
          <w:color w:val="000000"/>
          <w:kern w:val="24"/>
        </w:rPr>
        <w:t>a record of alcohol consumption.</w:t>
      </w:r>
    </w:p>
    <w:p w14:paraId="60A1A87A" w14:textId="77777777" w:rsidR="00D52916" w:rsidRPr="003C6EBD" w:rsidRDefault="00D52916" w:rsidP="00D52916">
      <w:pPr>
        <w:pStyle w:val="Paragraph"/>
        <w:numPr>
          <w:ilvl w:val="0"/>
          <w:numId w:val="3"/>
        </w:numPr>
        <w:spacing w:line="276" w:lineRule="auto"/>
        <w:rPr>
          <w:rFonts w:cs="Arial"/>
          <w:color w:val="000000"/>
          <w:kern w:val="24"/>
        </w:rPr>
      </w:pPr>
      <w:r w:rsidRPr="003C6EBD">
        <w:rPr>
          <w:rFonts w:cs="Arial"/>
          <w:color w:val="000000"/>
          <w:kern w:val="24"/>
        </w:rPr>
        <w:lastRenderedPageBreak/>
        <w:t>a record of a lipid profile.</w:t>
      </w:r>
    </w:p>
    <w:p w14:paraId="34C92823" w14:textId="77777777" w:rsidR="00D52916" w:rsidRPr="003C6EBD" w:rsidRDefault="00D52916" w:rsidP="00D52916">
      <w:pPr>
        <w:pStyle w:val="Paragraph"/>
        <w:numPr>
          <w:ilvl w:val="0"/>
          <w:numId w:val="3"/>
        </w:numPr>
        <w:spacing w:line="276" w:lineRule="auto"/>
        <w:rPr>
          <w:rFonts w:cs="Arial"/>
          <w:color w:val="000000"/>
          <w:kern w:val="24"/>
        </w:rPr>
      </w:pPr>
      <w:r w:rsidRPr="003C6EBD">
        <w:rPr>
          <w:rFonts w:cs="Arial"/>
          <w:color w:val="000000"/>
          <w:kern w:val="24"/>
        </w:rPr>
        <w:t>a record of blood glucose or HbA1c.</w:t>
      </w:r>
    </w:p>
    <w:p w14:paraId="24159C0F" w14:textId="77777777" w:rsidR="00D52916" w:rsidRPr="003C6EBD" w:rsidRDefault="00D52916" w:rsidP="00D52916">
      <w:pPr>
        <w:pStyle w:val="Paragraph"/>
        <w:numPr>
          <w:ilvl w:val="0"/>
          <w:numId w:val="3"/>
        </w:numPr>
        <w:spacing w:line="276" w:lineRule="auto"/>
        <w:ind w:left="714" w:hanging="357"/>
        <w:rPr>
          <w:rFonts w:cs="Arial"/>
          <w:color w:val="000000"/>
          <w:kern w:val="24"/>
        </w:rPr>
      </w:pPr>
      <w:r w:rsidRPr="003C6EBD">
        <w:rPr>
          <w:rFonts w:cs="Arial"/>
          <w:color w:val="000000"/>
          <w:kern w:val="24"/>
        </w:rPr>
        <w:t>a record of smoking status.</w:t>
      </w:r>
    </w:p>
    <w:p w14:paraId="65953C84" w14:textId="77777777" w:rsidR="00E22C4D" w:rsidRDefault="00E22C4D" w:rsidP="00D52916">
      <w:pPr>
        <w:pStyle w:val="Paragraphnonumbers"/>
        <w:sectPr w:rsidR="00E22C4D" w:rsidSect="00E22C4D">
          <w:type w:val="continuous"/>
          <w:pgSz w:w="16838" w:h="11906" w:orient="landscape"/>
          <w:pgMar w:top="1440" w:right="1440" w:bottom="1440" w:left="1440" w:header="709" w:footer="709" w:gutter="0"/>
          <w:cols w:num="2" w:space="708"/>
          <w:docGrid w:linePitch="360"/>
        </w:sectPr>
      </w:pPr>
    </w:p>
    <w:p w14:paraId="6C10C104" w14:textId="77777777" w:rsidR="00D52916" w:rsidRDefault="00D52916" w:rsidP="00D52916">
      <w:pPr>
        <w:pStyle w:val="Paragraphnonumbers"/>
      </w:pPr>
      <w:r>
        <w:lastRenderedPageBreak/>
        <w:t>Exclusions: Pa</w:t>
      </w:r>
      <w:r w:rsidRPr="003C1B1E">
        <w:t>tients in remission</w:t>
      </w:r>
    </w:p>
    <w:p w14:paraId="59C9A0ED" w14:textId="77777777" w:rsidR="00D52916" w:rsidRPr="003C6EBD" w:rsidRDefault="00D52916" w:rsidP="00D52916">
      <w:pPr>
        <w:pStyle w:val="Paragraphnonumbers"/>
      </w:pPr>
      <w:r>
        <w:t>At the patient level, p</w:t>
      </w:r>
      <w:r w:rsidRPr="003C6EBD">
        <w:t xml:space="preserve">ersonalised care adjustments </w:t>
      </w:r>
      <w:r>
        <w:t xml:space="preserve">(PCAs) </w:t>
      </w:r>
      <w:r w:rsidRPr="003C6EBD">
        <w:t xml:space="preserve">against each health check should be considered to account for situations where the patient declines, does not </w:t>
      </w:r>
      <w:r>
        <w:t>respond to invite</w:t>
      </w:r>
      <w:r w:rsidRPr="003C6EBD">
        <w:t xml:space="preserve"> or if the physical health check is not appropriate.</w:t>
      </w:r>
    </w:p>
    <w:p w14:paraId="272F8249" w14:textId="77777777" w:rsidR="00D52916" w:rsidRDefault="00D52916" w:rsidP="00D52916">
      <w:pPr>
        <w:pStyle w:val="Paragraphnonumbers"/>
      </w:pPr>
      <w:r>
        <w:t>The denominator will include:</w:t>
      </w:r>
    </w:p>
    <w:p w14:paraId="64A5EA5B" w14:textId="77777777" w:rsidR="00D52916" w:rsidRDefault="00D52916" w:rsidP="00D52916">
      <w:pPr>
        <w:pStyle w:val="Bullets"/>
      </w:pPr>
      <w:r>
        <w:t xml:space="preserve">Patients who have received all 6 physical health checks </w:t>
      </w:r>
    </w:p>
    <w:p w14:paraId="4C1C9BF8" w14:textId="77777777" w:rsidR="00D52916" w:rsidRDefault="00D52916" w:rsidP="00D52916">
      <w:pPr>
        <w:pStyle w:val="Bullets"/>
      </w:pPr>
      <w:r>
        <w:t>Patients who have not received all 6 checks, and for at least one of these checks there is no personalised care adjustment recorded.</w:t>
      </w:r>
    </w:p>
    <w:p w14:paraId="00985D0D" w14:textId="77777777" w:rsidR="00D52916" w:rsidRDefault="00D52916" w:rsidP="00D52916">
      <w:pPr>
        <w:pStyle w:val="Bullets"/>
        <w:numPr>
          <w:ilvl w:val="0"/>
          <w:numId w:val="0"/>
        </w:numPr>
      </w:pPr>
      <w:r>
        <w:lastRenderedPageBreak/>
        <w:t xml:space="preserve">Patients who have received less than 6 health checks but whose total number of health checks plus PCAs equals exactly 6 will be rejected from the denominator. </w:t>
      </w:r>
    </w:p>
    <w:p w14:paraId="70367B09" w14:textId="7F11315D" w:rsidR="00D52916" w:rsidRDefault="00D52916" w:rsidP="00D52916">
      <w:pPr>
        <w:rPr>
          <w:rFonts w:ascii="Arial" w:hAnsi="Arial"/>
        </w:rPr>
      </w:pPr>
    </w:p>
    <w:tbl>
      <w:tblPr>
        <w:tblStyle w:val="TableGrid"/>
        <w:tblpPr w:leftFromText="180" w:rightFromText="180" w:vertAnchor="text" w:horzAnchor="margin" w:tblpY="-178"/>
        <w:tblW w:w="5000" w:type="pct"/>
        <w:tblLook w:val="04A0" w:firstRow="1" w:lastRow="0" w:firstColumn="1" w:lastColumn="0" w:noHBand="0" w:noVBand="1"/>
      </w:tblPr>
      <w:tblGrid>
        <w:gridCol w:w="1891"/>
        <w:gridCol w:w="5233"/>
        <w:gridCol w:w="7050"/>
      </w:tblGrid>
      <w:tr w:rsidR="00E22C4D" w14:paraId="271287C5" w14:textId="77777777" w:rsidTr="00E22C4D">
        <w:tc>
          <w:tcPr>
            <w:tcW w:w="5000" w:type="pct"/>
            <w:gridSpan w:val="3"/>
          </w:tcPr>
          <w:p w14:paraId="4DF7660B" w14:textId="77777777" w:rsidR="00E22C4D" w:rsidRPr="00E22C4D" w:rsidRDefault="00E22C4D" w:rsidP="00E22C4D">
            <w:pPr>
              <w:pStyle w:val="Heading1"/>
              <w:outlineLvl w:val="0"/>
              <w:rPr>
                <w:b w:val="0"/>
                <w:bCs w:val="0"/>
              </w:rPr>
            </w:pPr>
            <w:bookmarkStart w:id="34" w:name="_Toc115101569"/>
            <w:r w:rsidRPr="00E22C4D">
              <w:rPr>
                <w:b w:val="0"/>
                <w:bCs w:val="0"/>
              </w:rPr>
              <w:t>Feedback - Mental health: physical health checks</w:t>
            </w:r>
          </w:p>
        </w:tc>
      </w:tr>
      <w:tr w:rsidR="00E22C4D" w14:paraId="7ECB40D9" w14:textId="77777777" w:rsidTr="00E22C4D">
        <w:tc>
          <w:tcPr>
            <w:tcW w:w="667" w:type="pct"/>
          </w:tcPr>
          <w:p w14:paraId="0CEF46E5" w14:textId="77777777" w:rsidR="00E22C4D" w:rsidRPr="00D52916" w:rsidRDefault="00E22C4D" w:rsidP="00E22C4D">
            <w:pPr>
              <w:pStyle w:val="Numberedlist"/>
              <w:numPr>
                <w:ilvl w:val="0"/>
                <w:numId w:val="0"/>
              </w:numPr>
              <w:rPr>
                <w:rFonts w:asciiTheme="minorHAnsi" w:hAnsiTheme="minorHAnsi" w:cstheme="minorHAnsi"/>
              </w:rPr>
            </w:pPr>
            <w:r w:rsidRPr="00D52916">
              <w:rPr>
                <w:rFonts w:asciiTheme="minorHAnsi" w:hAnsiTheme="minorHAnsi" w:cstheme="minorHAnsi"/>
              </w:rPr>
              <w:t>1</w:t>
            </w:r>
          </w:p>
        </w:tc>
        <w:tc>
          <w:tcPr>
            <w:tcW w:w="1846" w:type="pct"/>
          </w:tcPr>
          <w:p w14:paraId="7C95D05A" w14:textId="46DD238D" w:rsidR="00E22C4D" w:rsidRPr="00D52916" w:rsidRDefault="00E22C4D" w:rsidP="00E22C4D">
            <w:pPr>
              <w:rPr>
                <w:rFonts w:asciiTheme="minorHAnsi" w:hAnsiTheme="minorHAnsi" w:cstheme="minorHAnsi"/>
              </w:rPr>
            </w:pPr>
            <w:r w:rsidRPr="00D52916">
              <w:rPr>
                <w:rFonts w:asciiTheme="minorHAnsi" w:hAnsiTheme="minorHAnsi" w:cstheme="minorHAnsi"/>
              </w:rPr>
              <w:t>Do you think there are any barriers to implementing the care described by this indicator?</w:t>
            </w:r>
          </w:p>
        </w:tc>
        <w:tc>
          <w:tcPr>
            <w:tcW w:w="2487" w:type="pct"/>
          </w:tcPr>
          <w:p w14:paraId="1A670F86" w14:textId="77777777" w:rsidR="00E22C4D" w:rsidRDefault="00E22C4D" w:rsidP="00E22C4D"/>
        </w:tc>
      </w:tr>
      <w:tr w:rsidR="00E22C4D" w14:paraId="61179654" w14:textId="77777777" w:rsidTr="00E22C4D">
        <w:tc>
          <w:tcPr>
            <w:tcW w:w="667" w:type="pct"/>
          </w:tcPr>
          <w:p w14:paraId="5683B560" w14:textId="77777777" w:rsidR="00E22C4D" w:rsidRPr="00D52916" w:rsidRDefault="00E22C4D" w:rsidP="00E22C4D">
            <w:pPr>
              <w:pStyle w:val="Numberedlist"/>
              <w:numPr>
                <w:ilvl w:val="0"/>
                <w:numId w:val="0"/>
              </w:numPr>
              <w:rPr>
                <w:rFonts w:asciiTheme="minorHAnsi" w:hAnsiTheme="minorHAnsi" w:cstheme="minorHAnsi"/>
              </w:rPr>
            </w:pPr>
            <w:r w:rsidRPr="00D52916">
              <w:rPr>
                <w:rFonts w:asciiTheme="minorHAnsi" w:hAnsiTheme="minorHAnsi" w:cstheme="minorHAnsi"/>
              </w:rPr>
              <w:t>2</w:t>
            </w:r>
          </w:p>
        </w:tc>
        <w:tc>
          <w:tcPr>
            <w:tcW w:w="1846" w:type="pct"/>
          </w:tcPr>
          <w:p w14:paraId="33023289" w14:textId="2CA9C5FE" w:rsidR="00E22C4D" w:rsidRPr="00D52916" w:rsidRDefault="00E22C4D" w:rsidP="00E22C4D">
            <w:pPr>
              <w:rPr>
                <w:rFonts w:asciiTheme="minorHAnsi" w:hAnsiTheme="minorHAnsi" w:cstheme="minorHAnsi"/>
              </w:rPr>
            </w:pPr>
            <w:r w:rsidRPr="00D52916">
              <w:rPr>
                <w:rFonts w:asciiTheme="minorHAnsi" w:hAnsiTheme="minorHAnsi" w:cstheme="minorHAnsi"/>
              </w:rPr>
              <w:t>Do you think there are potential unintended consequences to implementing/ using this indicator?</w:t>
            </w:r>
          </w:p>
        </w:tc>
        <w:tc>
          <w:tcPr>
            <w:tcW w:w="2487" w:type="pct"/>
          </w:tcPr>
          <w:p w14:paraId="7659762D" w14:textId="77777777" w:rsidR="00E22C4D" w:rsidRDefault="00E22C4D" w:rsidP="00E22C4D"/>
        </w:tc>
      </w:tr>
      <w:tr w:rsidR="00E22C4D" w14:paraId="52DDBE4E" w14:textId="77777777" w:rsidTr="00E22C4D">
        <w:tc>
          <w:tcPr>
            <w:tcW w:w="667" w:type="pct"/>
          </w:tcPr>
          <w:p w14:paraId="60EF09A0" w14:textId="77777777" w:rsidR="00E22C4D" w:rsidRPr="00D52916" w:rsidRDefault="00E22C4D" w:rsidP="00E22C4D">
            <w:pPr>
              <w:pStyle w:val="Numberedlist"/>
              <w:numPr>
                <w:ilvl w:val="0"/>
                <w:numId w:val="0"/>
              </w:numPr>
              <w:rPr>
                <w:rFonts w:asciiTheme="minorHAnsi" w:hAnsiTheme="minorHAnsi" w:cstheme="minorHAnsi"/>
              </w:rPr>
            </w:pPr>
            <w:r w:rsidRPr="00D52916">
              <w:rPr>
                <w:rFonts w:asciiTheme="minorHAnsi" w:hAnsiTheme="minorHAnsi" w:cstheme="minorHAnsi"/>
              </w:rPr>
              <w:t>3</w:t>
            </w:r>
          </w:p>
        </w:tc>
        <w:tc>
          <w:tcPr>
            <w:tcW w:w="1846" w:type="pct"/>
          </w:tcPr>
          <w:p w14:paraId="406A7186" w14:textId="081D7F16" w:rsidR="00E22C4D" w:rsidRPr="00D52916" w:rsidRDefault="00E22C4D" w:rsidP="00E22C4D">
            <w:pPr>
              <w:rPr>
                <w:rFonts w:asciiTheme="minorHAnsi" w:hAnsiTheme="minorHAnsi" w:cstheme="minorHAnsi"/>
              </w:rPr>
            </w:pPr>
            <w:r w:rsidRPr="00D52916">
              <w:rPr>
                <w:rFonts w:asciiTheme="minorHAnsi" w:hAnsiTheme="minorHAnsi" w:cstheme="minorHAnsi"/>
              </w:rPr>
              <w:t>Do you think there is potential for differential impact (in respect of age, disability, gender and gender reassignment, pregnancy and maternity, race, religion or belief, and sexual orientation)? If so, please state whether this is adverse or positive and for which group.</w:t>
            </w:r>
          </w:p>
        </w:tc>
        <w:tc>
          <w:tcPr>
            <w:tcW w:w="2487" w:type="pct"/>
          </w:tcPr>
          <w:p w14:paraId="4E92052F" w14:textId="77777777" w:rsidR="00E22C4D" w:rsidRDefault="00E22C4D" w:rsidP="00E22C4D"/>
        </w:tc>
      </w:tr>
      <w:tr w:rsidR="00E22C4D" w14:paraId="21FE7C29" w14:textId="77777777" w:rsidTr="00E22C4D">
        <w:tc>
          <w:tcPr>
            <w:tcW w:w="667" w:type="pct"/>
          </w:tcPr>
          <w:p w14:paraId="1FDA9533" w14:textId="77777777" w:rsidR="00E22C4D" w:rsidRPr="00D52916" w:rsidRDefault="00E22C4D" w:rsidP="00E22C4D">
            <w:pPr>
              <w:pStyle w:val="Numberedlist"/>
              <w:numPr>
                <w:ilvl w:val="0"/>
                <w:numId w:val="0"/>
              </w:numPr>
              <w:rPr>
                <w:rFonts w:asciiTheme="minorHAnsi" w:hAnsiTheme="minorHAnsi" w:cstheme="minorHAnsi"/>
              </w:rPr>
            </w:pPr>
            <w:r w:rsidRPr="00D52916">
              <w:rPr>
                <w:rFonts w:asciiTheme="minorHAnsi" w:hAnsiTheme="minorHAnsi" w:cstheme="minorHAnsi"/>
              </w:rPr>
              <w:t>4</w:t>
            </w:r>
          </w:p>
        </w:tc>
        <w:tc>
          <w:tcPr>
            <w:tcW w:w="1846" w:type="pct"/>
          </w:tcPr>
          <w:p w14:paraId="03E1AFE2" w14:textId="6EA1325A" w:rsidR="00E22C4D" w:rsidRPr="00D52916" w:rsidRDefault="00E22C4D" w:rsidP="00E22C4D">
            <w:pPr>
              <w:rPr>
                <w:rFonts w:asciiTheme="minorHAnsi" w:hAnsiTheme="minorHAnsi" w:cstheme="minorHAnsi"/>
              </w:rPr>
            </w:pPr>
            <w:r w:rsidRPr="00D52916">
              <w:rPr>
                <w:rFonts w:asciiTheme="minorHAnsi" w:hAnsiTheme="minorHAnsi" w:cstheme="minorHAnsi"/>
              </w:rPr>
              <w:t>If you think this indicator may have an adverse impact in different groups in the community, can you suggest how it might be delivered differently to different groups to reduce health inequalities?</w:t>
            </w:r>
          </w:p>
        </w:tc>
        <w:tc>
          <w:tcPr>
            <w:tcW w:w="2487" w:type="pct"/>
          </w:tcPr>
          <w:p w14:paraId="04253212" w14:textId="77777777" w:rsidR="00E22C4D" w:rsidRDefault="00E22C4D" w:rsidP="00E22C4D"/>
        </w:tc>
      </w:tr>
      <w:tr w:rsidR="00E22C4D" w14:paraId="59F625F2" w14:textId="77777777" w:rsidTr="00E22C4D">
        <w:tc>
          <w:tcPr>
            <w:tcW w:w="667" w:type="pct"/>
          </w:tcPr>
          <w:p w14:paraId="3AEDFD66" w14:textId="77777777" w:rsidR="00E22C4D" w:rsidRPr="00D52916" w:rsidRDefault="00E22C4D" w:rsidP="00E22C4D">
            <w:pPr>
              <w:rPr>
                <w:rFonts w:asciiTheme="minorHAnsi" w:hAnsiTheme="minorHAnsi" w:cstheme="minorHAnsi"/>
              </w:rPr>
            </w:pPr>
            <w:r w:rsidRPr="00D52916">
              <w:rPr>
                <w:rFonts w:asciiTheme="minorHAnsi" w:hAnsiTheme="minorHAnsi" w:cstheme="minorHAnsi"/>
              </w:rPr>
              <w:t>Other comments</w:t>
            </w:r>
          </w:p>
        </w:tc>
        <w:tc>
          <w:tcPr>
            <w:tcW w:w="4333" w:type="pct"/>
            <w:gridSpan w:val="2"/>
          </w:tcPr>
          <w:p w14:paraId="571EF6FD" w14:textId="77777777" w:rsidR="00E22C4D" w:rsidRDefault="00E22C4D" w:rsidP="00E22C4D"/>
        </w:tc>
      </w:tr>
    </w:tbl>
    <w:p w14:paraId="751AF4C4" w14:textId="77777777" w:rsidR="00D52916" w:rsidRDefault="00D52916" w:rsidP="00D52916">
      <w:pPr>
        <w:pStyle w:val="Heading1"/>
      </w:pPr>
      <w:r>
        <w:t>Atrial fibrillation: anticoagulation</w:t>
      </w:r>
      <w:bookmarkEnd w:id="34"/>
    </w:p>
    <w:p w14:paraId="262CE92F" w14:textId="77777777" w:rsidR="00D52916" w:rsidRDefault="00D52916" w:rsidP="00D52916">
      <w:pPr>
        <w:pStyle w:val="Paragraphnonumbers"/>
      </w:pPr>
      <w:r>
        <w:t xml:space="preserve">IND2022-131: </w:t>
      </w:r>
      <w:r w:rsidRPr="00091CAD">
        <w:t>Percentage of patients with atrial fibrillation and a last recorded CHA</w:t>
      </w:r>
      <w:r w:rsidRPr="009E1CB4">
        <w:rPr>
          <w:vertAlign w:val="subscript"/>
        </w:rPr>
        <w:t>2</w:t>
      </w:r>
      <w:r w:rsidRPr="00091CAD">
        <w:t>DS</w:t>
      </w:r>
      <w:r w:rsidRPr="009E1CB4">
        <w:rPr>
          <w:vertAlign w:val="subscript"/>
        </w:rPr>
        <w:t>2</w:t>
      </w:r>
      <w:r w:rsidRPr="00091CAD">
        <w:t>- VASc score of 2 or more who are currently prescribed a direct-acting oral anticoagulant (DOAC), or where a DOAC is declined or clinically unsuitable, a Vitamin K antagonist</w:t>
      </w:r>
      <w:r>
        <w:t>.</w:t>
      </w:r>
    </w:p>
    <w:p w14:paraId="23FA6BCB" w14:textId="77777777" w:rsidR="00D52916" w:rsidRDefault="00D52916" w:rsidP="00D52916">
      <w:pPr>
        <w:pStyle w:val="Heading2"/>
      </w:pPr>
      <w:r>
        <w:lastRenderedPageBreak/>
        <w:t>Indicator type</w:t>
      </w:r>
    </w:p>
    <w:p w14:paraId="59061BAB" w14:textId="77777777" w:rsidR="00D52916" w:rsidRDefault="00D52916" w:rsidP="00D52916">
      <w:pPr>
        <w:pStyle w:val="Paragraphnonumbers"/>
      </w:pPr>
      <w:r w:rsidRPr="00091CAD">
        <w:t>General practice indicator suitable for use in the QOF</w:t>
      </w:r>
      <w:r>
        <w:t xml:space="preserve">. </w:t>
      </w:r>
    </w:p>
    <w:p w14:paraId="5A604F8D" w14:textId="77777777" w:rsidR="00D52916" w:rsidRPr="00091CAD" w:rsidRDefault="00D52916" w:rsidP="00D52916">
      <w:pPr>
        <w:pStyle w:val="Paragraphnonumbers"/>
      </w:pPr>
      <w:r>
        <w:t xml:space="preserve">This indicator is based on existing indicator CVD-05 in the </w:t>
      </w:r>
      <w:hyperlink r:id="rId15" w:history="1">
        <w:r w:rsidRPr="00693287">
          <w:rPr>
            <w:rStyle w:val="Hyperlink"/>
          </w:rPr>
          <w:t>Investment and Impact Fund 2022/23</w:t>
        </w:r>
      </w:hyperlink>
      <w:r>
        <w:t xml:space="preserve">. </w:t>
      </w:r>
    </w:p>
    <w:p w14:paraId="3BD8CBA9" w14:textId="77777777" w:rsidR="00D52916" w:rsidRDefault="00D52916" w:rsidP="00D52916">
      <w:pPr>
        <w:pStyle w:val="Heading2"/>
      </w:pPr>
      <w:r>
        <w:t>Rationale</w:t>
      </w:r>
    </w:p>
    <w:p w14:paraId="0709DA68" w14:textId="77777777" w:rsidR="00D52916" w:rsidRDefault="00D52916" w:rsidP="00D52916">
      <w:pPr>
        <w:pStyle w:val="Paragraphnonumbers"/>
      </w:pPr>
      <w:r w:rsidRPr="00091CAD">
        <w:t xml:space="preserve">Anticoagulation </w:t>
      </w:r>
      <w:r>
        <w:t xml:space="preserve">in patients with atrial fibrillation (AF) </w:t>
      </w:r>
      <w:r w:rsidRPr="00091CAD">
        <w:t xml:space="preserve">can help prevent stroke. </w:t>
      </w:r>
      <w:r>
        <w:t>E</w:t>
      </w:r>
      <w:r w:rsidRPr="006F1E6A">
        <w:t>vidence from an analysis of several studies show</w:t>
      </w:r>
      <w:r>
        <w:t>s</w:t>
      </w:r>
      <w:r w:rsidRPr="006F1E6A">
        <w:t xml:space="preserve"> that </w:t>
      </w:r>
      <w:r>
        <w:t xml:space="preserve">DOACs </w:t>
      </w:r>
      <w:r w:rsidRPr="006F1E6A">
        <w:t xml:space="preserve">are more effective than </w:t>
      </w:r>
      <w:r>
        <w:t xml:space="preserve">Vitamin K antagonists </w:t>
      </w:r>
      <w:r w:rsidRPr="006F1E6A">
        <w:t>for a number of outcomes</w:t>
      </w:r>
      <w:r>
        <w:t xml:space="preserve"> and should be used as a first line treatment </w:t>
      </w:r>
      <w:hyperlink r:id="rId16" w:anchor="stroke-prevention" w:history="1">
        <w:r w:rsidRPr="006E706E">
          <w:rPr>
            <w:rStyle w:val="Hyperlink"/>
          </w:rPr>
          <w:t>(NICE, NG196</w:t>
        </w:r>
      </w:hyperlink>
      <w:r>
        <w:t xml:space="preserve">). </w:t>
      </w:r>
    </w:p>
    <w:p w14:paraId="200C6A40" w14:textId="77777777" w:rsidR="00D52916" w:rsidRDefault="00D52916" w:rsidP="00D52916">
      <w:pPr>
        <w:pStyle w:val="Paragraphnonumbers"/>
      </w:pPr>
      <w:r>
        <w:t xml:space="preserve">For patients </w:t>
      </w:r>
      <w:r w:rsidRPr="006F1E6A">
        <w:t xml:space="preserve">already established and stable on a vitamin K antagonist, the benefits of changing to a </w:t>
      </w:r>
      <w:r>
        <w:t xml:space="preserve">DOAC </w:t>
      </w:r>
      <w:r w:rsidRPr="006F1E6A">
        <w:t>need to be discussed</w:t>
      </w:r>
      <w:r>
        <w:t xml:space="preserve"> with the patient</w:t>
      </w:r>
      <w:r w:rsidRPr="006F1E6A">
        <w:t>. Therefore, the risks and benefits of changing medication, the person's time in therapeutic range and the person's preferences should be explored at their next routine appointment</w:t>
      </w:r>
      <w:r>
        <w:t xml:space="preserve"> </w:t>
      </w:r>
      <w:hyperlink r:id="rId17" w:anchor="stroke-prevention" w:history="1">
        <w:r w:rsidRPr="006E706E">
          <w:rPr>
            <w:rStyle w:val="Hyperlink"/>
          </w:rPr>
          <w:t>(NICE, NG196</w:t>
        </w:r>
      </w:hyperlink>
      <w:r>
        <w:t>)</w:t>
      </w:r>
      <w:r w:rsidRPr="006F1E6A">
        <w:t>.</w:t>
      </w:r>
    </w:p>
    <w:p w14:paraId="1754E202" w14:textId="77777777" w:rsidR="00D52916" w:rsidRDefault="00D52916" w:rsidP="00D52916">
      <w:pPr>
        <w:pStyle w:val="Paragraphnonumbers"/>
        <w:rPr>
          <w:b/>
          <w:bCs/>
        </w:rPr>
      </w:pPr>
      <w:r w:rsidRPr="00091CAD">
        <w:t xml:space="preserve">This indicator aims to promote the use of DOACs over vitamin K antagonists unless DOACs are unsuitable or declined by the patient. </w:t>
      </w:r>
    </w:p>
    <w:p w14:paraId="2E6F2884" w14:textId="77777777" w:rsidR="00D52916" w:rsidRDefault="00D52916" w:rsidP="00D52916">
      <w:pPr>
        <w:pStyle w:val="Heading2"/>
      </w:pPr>
      <w:r>
        <w:t xml:space="preserve">Source guidance  </w:t>
      </w:r>
    </w:p>
    <w:p w14:paraId="797215DC" w14:textId="77777777" w:rsidR="00D52916" w:rsidRDefault="002B3262" w:rsidP="00D52916">
      <w:pPr>
        <w:pStyle w:val="Paragraphnonumbers"/>
        <w:rPr>
          <w:b/>
          <w:bCs/>
        </w:rPr>
      </w:pPr>
      <w:hyperlink r:id="rId18" w:history="1">
        <w:r w:rsidR="00D52916" w:rsidRPr="003F077A">
          <w:rPr>
            <w:rStyle w:val="Hyperlink"/>
          </w:rPr>
          <w:t>NICE’s guideline on atrial fibrillation</w:t>
        </w:r>
      </w:hyperlink>
      <w:r w:rsidR="00D52916" w:rsidRPr="00A63C8A">
        <w:t xml:space="preserve"> (</w:t>
      </w:r>
      <w:r w:rsidR="00D52916">
        <w:t>2021</w:t>
      </w:r>
      <w:r w:rsidR="00D52916" w:rsidRPr="00A63C8A">
        <w:t>) recommendation</w:t>
      </w:r>
      <w:r w:rsidR="00D52916">
        <w:t>s 1.6.3, 1.6.4 and 1.6.5.</w:t>
      </w:r>
      <w:r w:rsidR="00D52916" w:rsidRPr="00A63C8A">
        <w:t xml:space="preserve"> </w:t>
      </w:r>
    </w:p>
    <w:p w14:paraId="28BD84D2" w14:textId="77777777" w:rsidR="00D52916" w:rsidRDefault="00D52916" w:rsidP="00D52916">
      <w:pPr>
        <w:rPr>
          <w:rFonts w:ascii="Arial" w:hAnsi="Arial" w:cs="Arial"/>
          <w:b/>
          <w:bCs/>
          <w:color w:val="228096"/>
          <w:sz w:val="28"/>
          <w:szCs w:val="28"/>
          <w:lang w:eastAsia="en-US"/>
        </w:rPr>
      </w:pPr>
      <w:r>
        <w:br w:type="page"/>
      </w:r>
    </w:p>
    <w:p w14:paraId="099D3559" w14:textId="77777777" w:rsidR="00D52916" w:rsidRDefault="00D52916" w:rsidP="00D52916">
      <w:pPr>
        <w:pStyle w:val="Heading2"/>
      </w:pPr>
      <w:r>
        <w:lastRenderedPageBreak/>
        <w:t>Specification</w:t>
      </w:r>
    </w:p>
    <w:p w14:paraId="6F144EA0" w14:textId="77777777" w:rsidR="00D52916" w:rsidRDefault="00D52916" w:rsidP="00D52916">
      <w:pPr>
        <w:pStyle w:val="Paragraphnonumbers"/>
      </w:pPr>
      <w:r>
        <w:t xml:space="preserve">Numerator: </w:t>
      </w:r>
      <w:r w:rsidRPr="003F077A">
        <w:t>the number in the denominator who are currently prescribed a DOAC, or where a DOAC is declined or clinically unsuitable, a Vitamin K antagonist</w:t>
      </w:r>
      <w:r>
        <w:t>.</w:t>
      </w:r>
    </w:p>
    <w:p w14:paraId="79195246" w14:textId="77777777" w:rsidR="00D52916" w:rsidRPr="00867CDA" w:rsidRDefault="00D52916" w:rsidP="00D52916">
      <w:pPr>
        <w:pStyle w:val="Paragraphnonumbers"/>
      </w:pPr>
      <w:r>
        <w:t xml:space="preserve">Denominator: </w:t>
      </w:r>
      <w:r w:rsidRPr="003F077A">
        <w:t>the number of patients with atrial fibrillation and a last recorded CHA</w:t>
      </w:r>
      <w:r w:rsidRPr="009E1CB4">
        <w:rPr>
          <w:vertAlign w:val="subscript"/>
        </w:rPr>
        <w:t>2</w:t>
      </w:r>
      <w:r w:rsidRPr="003F077A">
        <w:t>DS</w:t>
      </w:r>
      <w:r w:rsidRPr="009E1CB4">
        <w:rPr>
          <w:vertAlign w:val="subscript"/>
        </w:rPr>
        <w:t>2</w:t>
      </w:r>
      <w:r w:rsidRPr="003F077A">
        <w:t>- VASc score of 2 or more</w:t>
      </w:r>
      <w:r>
        <w:t>.</w:t>
      </w:r>
    </w:p>
    <w:p w14:paraId="5B7634E6" w14:textId="77777777" w:rsidR="00D52916" w:rsidRDefault="00D52916" w:rsidP="00D52916">
      <w:pPr>
        <w:pStyle w:val="Paragraphnonumbers"/>
      </w:pPr>
      <w:bookmarkStart w:id="35" w:name="_Hlk114652675"/>
      <w:r>
        <w:t xml:space="preserve">Definition: </w:t>
      </w:r>
      <w:bookmarkEnd w:id="35"/>
      <w:r>
        <w:t xml:space="preserve">Current treatment is defined </w:t>
      </w:r>
      <w:r w:rsidRPr="003F077A">
        <w:t>as a prescription in the last 6 months of the reporting period</w:t>
      </w:r>
      <w:r>
        <w:t>.</w:t>
      </w:r>
    </w:p>
    <w:p w14:paraId="60D843EE" w14:textId="77777777" w:rsidR="00D52916" w:rsidRDefault="00D52916" w:rsidP="00D52916">
      <w:pPr>
        <w:pStyle w:val="Paragraphnonumbers"/>
      </w:pPr>
      <w:r>
        <w:t>Exclusions: People with resolved atrial fibrillation.</w:t>
      </w:r>
    </w:p>
    <w:p w14:paraId="63B2DC46" w14:textId="77777777" w:rsidR="00D52916" w:rsidRPr="003F077A" w:rsidRDefault="00D52916" w:rsidP="00D52916">
      <w:pPr>
        <w:pStyle w:val="Heading2"/>
        <w:spacing w:line="276" w:lineRule="auto"/>
        <w:rPr>
          <w:rFonts w:cs="Times New Roman"/>
          <w:b w:val="0"/>
          <w:bCs w:val="0"/>
          <w:color w:val="auto"/>
          <w:sz w:val="24"/>
          <w:szCs w:val="24"/>
          <w:lang w:eastAsia="en-GB"/>
        </w:rPr>
      </w:pPr>
      <w:r>
        <w:rPr>
          <w:rFonts w:cs="Times New Roman"/>
          <w:b w:val="0"/>
          <w:bCs w:val="0"/>
          <w:color w:val="auto"/>
          <w:sz w:val="24"/>
          <w:szCs w:val="24"/>
          <w:lang w:eastAsia="en-GB"/>
        </w:rPr>
        <w:t>Using established g</w:t>
      </w:r>
      <w:r w:rsidRPr="003F077A">
        <w:rPr>
          <w:rFonts w:cs="Times New Roman"/>
          <w:b w:val="0"/>
          <w:bCs w:val="0"/>
          <w:color w:val="auto"/>
          <w:sz w:val="24"/>
          <w:szCs w:val="24"/>
          <w:lang w:eastAsia="en-GB"/>
        </w:rPr>
        <w:t>uidance for existing IIF Indicator CVD-05 this indicator has multiple success criteria that are evaluated sequentially</w:t>
      </w:r>
      <w:r>
        <w:rPr>
          <w:rFonts w:cs="Times New Roman"/>
          <w:b w:val="0"/>
          <w:bCs w:val="0"/>
          <w:color w:val="auto"/>
          <w:sz w:val="24"/>
          <w:szCs w:val="24"/>
          <w:lang w:eastAsia="en-GB"/>
        </w:rPr>
        <w:t>. A personalised care adjustment (</w:t>
      </w:r>
      <w:r w:rsidRPr="003F077A">
        <w:rPr>
          <w:rFonts w:cs="Times New Roman"/>
          <w:b w:val="0"/>
          <w:bCs w:val="0"/>
          <w:color w:val="auto"/>
          <w:sz w:val="24"/>
          <w:szCs w:val="24"/>
          <w:lang w:eastAsia="en-GB"/>
        </w:rPr>
        <w:t>PCA</w:t>
      </w:r>
      <w:r>
        <w:rPr>
          <w:rFonts w:cs="Times New Roman"/>
          <w:b w:val="0"/>
          <w:bCs w:val="0"/>
          <w:color w:val="auto"/>
          <w:sz w:val="24"/>
          <w:szCs w:val="24"/>
          <w:lang w:eastAsia="en-GB"/>
        </w:rPr>
        <w:t>)</w:t>
      </w:r>
      <w:r w:rsidRPr="003F077A">
        <w:rPr>
          <w:rFonts w:cs="Times New Roman"/>
          <w:b w:val="0"/>
          <w:bCs w:val="0"/>
          <w:color w:val="auto"/>
          <w:sz w:val="24"/>
          <w:szCs w:val="24"/>
          <w:lang w:eastAsia="en-GB"/>
        </w:rPr>
        <w:t xml:space="preserve"> for the first success criterion (DOAC prescribing) moves the patient into the pool for evaluation against the second criterion (Vitamin K antagonist prescribing), rather than removing them from the denominator altogether.</w:t>
      </w:r>
    </w:p>
    <w:p w14:paraId="5FB948F6" w14:textId="77777777" w:rsidR="00D52916" w:rsidRPr="003F077A" w:rsidRDefault="00D52916" w:rsidP="00D52916">
      <w:pPr>
        <w:pStyle w:val="Heading2"/>
        <w:spacing w:line="276" w:lineRule="auto"/>
        <w:rPr>
          <w:rFonts w:cs="Times New Roman"/>
          <w:b w:val="0"/>
          <w:bCs w:val="0"/>
          <w:color w:val="auto"/>
          <w:sz w:val="24"/>
          <w:szCs w:val="24"/>
          <w:lang w:eastAsia="en-GB"/>
        </w:rPr>
      </w:pPr>
      <w:r w:rsidRPr="003F077A">
        <w:rPr>
          <w:rFonts w:cs="Times New Roman"/>
          <w:b w:val="0"/>
          <w:bCs w:val="0"/>
          <w:color w:val="auto"/>
          <w:sz w:val="24"/>
          <w:szCs w:val="24"/>
          <w:lang w:eastAsia="en-GB"/>
        </w:rPr>
        <w:t>PCAs for success criterion 1 (moves the patient to evaluation under success criterion 2):</w:t>
      </w:r>
    </w:p>
    <w:p w14:paraId="6230F5E8" w14:textId="77777777" w:rsidR="00D52916" w:rsidRPr="003F077A" w:rsidRDefault="00D52916" w:rsidP="00D52916">
      <w:pPr>
        <w:pStyle w:val="Bullets"/>
        <w:spacing w:line="276" w:lineRule="auto"/>
      </w:pPr>
      <w:r w:rsidRPr="003F077A">
        <w:t>DOAC clinically unsuitable (includes recordings of antiphospholipid syndrome).</w:t>
      </w:r>
    </w:p>
    <w:p w14:paraId="0B56BEBE" w14:textId="77777777" w:rsidR="00D52916" w:rsidRPr="003F077A" w:rsidRDefault="00D52916" w:rsidP="00D52916">
      <w:pPr>
        <w:pStyle w:val="Bullets"/>
        <w:spacing w:line="276" w:lineRule="auto"/>
      </w:pPr>
      <w:r w:rsidRPr="003F077A">
        <w:t>‘DOAC not indicated’ plus last recording of ‘Time in Therapeutic Range’ &gt;= 65% in the six months to the reporting period end date.</w:t>
      </w:r>
    </w:p>
    <w:p w14:paraId="19E0435C" w14:textId="77777777" w:rsidR="00D52916" w:rsidRPr="003F077A" w:rsidRDefault="00D52916" w:rsidP="00D52916">
      <w:pPr>
        <w:pStyle w:val="Bullets"/>
        <w:spacing w:line="276" w:lineRule="auto"/>
      </w:pPr>
      <w:r w:rsidRPr="003F077A">
        <w:t>DOAC declined.</w:t>
      </w:r>
    </w:p>
    <w:p w14:paraId="4B84ED13" w14:textId="77777777" w:rsidR="00D52916" w:rsidRPr="003F077A" w:rsidRDefault="00D52916" w:rsidP="00D52916">
      <w:pPr>
        <w:pStyle w:val="Heading2"/>
        <w:spacing w:line="276" w:lineRule="auto"/>
        <w:rPr>
          <w:rFonts w:cs="Times New Roman"/>
          <w:b w:val="0"/>
          <w:bCs w:val="0"/>
          <w:color w:val="auto"/>
          <w:sz w:val="24"/>
          <w:szCs w:val="24"/>
          <w:lang w:eastAsia="en-GB"/>
        </w:rPr>
      </w:pPr>
      <w:r w:rsidRPr="003F077A">
        <w:rPr>
          <w:rFonts w:cs="Times New Roman"/>
          <w:b w:val="0"/>
          <w:bCs w:val="0"/>
          <w:color w:val="auto"/>
          <w:sz w:val="24"/>
          <w:szCs w:val="24"/>
          <w:lang w:eastAsia="en-GB"/>
        </w:rPr>
        <w:t>PCAs for success criterion 2:</w:t>
      </w:r>
    </w:p>
    <w:p w14:paraId="4587C4C6" w14:textId="77777777" w:rsidR="00D52916" w:rsidRPr="003F077A" w:rsidRDefault="00D52916" w:rsidP="00D52916">
      <w:pPr>
        <w:pStyle w:val="Bullets"/>
        <w:spacing w:line="276" w:lineRule="auto"/>
      </w:pPr>
      <w:r w:rsidRPr="003F077A">
        <w:t>Vitamin K antagonist</w:t>
      </w:r>
      <w:r>
        <w:t xml:space="preserve"> </w:t>
      </w:r>
      <w:r w:rsidRPr="003F077A">
        <w:t>/ Warfarin clinically unsuitable.</w:t>
      </w:r>
    </w:p>
    <w:p w14:paraId="0494B5BA" w14:textId="77777777" w:rsidR="00D52916" w:rsidRPr="003F077A" w:rsidRDefault="00D52916" w:rsidP="00D52916">
      <w:pPr>
        <w:pStyle w:val="Bullets"/>
        <w:spacing w:line="276" w:lineRule="auto"/>
      </w:pPr>
      <w:r w:rsidRPr="003F077A">
        <w:t>Vitamin K antagonist / Warfarin declined.</w:t>
      </w:r>
    </w:p>
    <w:p w14:paraId="580C5338" w14:textId="77777777" w:rsidR="00D52916" w:rsidRPr="003F077A" w:rsidRDefault="00D52916" w:rsidP="00D52916">
      <w:pPr>
        <w:pStyle w:val="Heading2"/>
        <w:spacing w:line="276" w:lineRule="auto"/>
        <w:rPr>
          <w:rFonts w:cs="Times New Roman"/>
          <w:b w:val="0"/>
          <w:bCs w:val="0"/>
          <w:color w:val="auto"/>
          <w:sz w:val="24"/>
          <w:szCs w:val="24"/>
          <w:lang w:eastAsia="en-GB"/>
        </w:rPr>
      </w:pPr>
      <w:r w:rsidRPr="003F077A">
        <w:rPr>
          <w:rFonts w:cs="Times New Roman"/>
          <w:b w:val="0"/>
          <w:bCs w:val="0"/>
          <w:color w:val="auto"/>
          <w:sz w:val="24"/>
          <w:szCs w:val="24"/>
          <w:lang w:eastAsia="en-GB"/>
        </w:rPr>
        <w:t>Possible grounds for exception reporting in the traditional sense (i.e. removal from the denominator altogether, unless a success is registered) are:</w:t>
      </w:r>
    </w:p>
    <w:p w14:paraId="6BE18374" w14:textId="77777777" w:rsidR="00D52916" w:rsidRPr="003F077A" w:rsidRDefault="00D52916" w:rsidP="00D52916">
      <w:pPr>
        <w:pStyle w:val="Bullets"/>
        <w:spacing w:line="276" w:lineRule="auto"/>
      </w:pPr>
      <w:r w:rsidRPr="003F077A">
        <w:t>First AF diagnosis in 3 months to reporting period end date</w:t>
      </w:r>
    </w:p>
    <w:p w14:paraId="457CD980" w14:textId="77777777" w:rsidR="00D52916" w:rsidRPr="003F077A" w:rsidRDefault="00D52916" w:rsidP="00D52916">
      <w:pPr>
        <w:pStyle w:val="Bullets"/>
        <w:spacing w:line="276" w:lineRule="auto"/>
      </w:pPr>
      <w:r w:rsidRPr="003F077A">
        <w:lastRenderedPageBreak/>
        <w:t>Oral anticoagulant clinically unsuitable</w:t>
      </w:r>
    </w:p>
    <w:p w14:paraId="61B0CDC1" w14:textId="77777777" w:rsidR="00D52916" w:rsidRPr="003F077A" w:rsidRDefault="00D52916" w:rsidP="00D52916">
      <w:pPr>
        <w:pStyle w:val="Bullets"/>
        <w:spacing w:line="276" w:lineRule="auto"/>
      </w:pPr>
      <w:r w:rsidRPr="003F077A">
        <w:t>Oral anticoagulant declined</w:t>
      </w:r>
    </w:p>
    <w:p w14:paraId="56D23F2D" w14:textId="77777777" w:rsidR="00D52916" w:rsidRPr="003F077A" w:rsidRDefault="00D52916" w:rsidP="00D52916">
      <w:pPr>
        <w:pStyle w:val="Bullets"/>
        <w:spacing w:line="276" w:lineRule="auto"/>
      </w:pPr>
      <w:r w:rsidRPr="003F077A">
        <w:t xml:space="preserve">A combination of PCAs applying to success criteria 1 and 2 individually. </w:t>
      </w:r>
    </w:p>
    <w:p w14:paraId="5ACE87EC" w14:textId="01B452CD" w:rsidR="00D52916" w:rsidRDefault="00D52916" w:rsidP="00D52916"/>
    <w:tbl>
      <w:tblPr>
        <w:tblStyle w:val="TableGrid"/>
        <w:tblW w:w="5000" w:type="pct"/>
        <w:tblLook w:val="04A0" w:firstRow="1" w:lastRow="0" w:firstColumn="1" w:lastColumn="0" w:noHBand="0" w:noVBand="1"/>
      </w:tblPr>
      <w:tblGrid>
        <w:gridCol w:w="1891"/>
        <w:gridCol w:w="5233"/>
        <w:gridCol w:w="7050"/>
      </w:tblGrid>
      <w:tr w:rsidR="00E22C4D" w14:paraId="2DAD1BB8" w14:textId="77777777" w:rsidTr="00762F55">
        <w:tc>
          <w:tcPr>
            <w:tcW w:w="5000" w:type="pct"/>
            <w:gridSpan w:val="3"/>
          </w:tcPr>
          <w:p w14:paraId="3B54577D" w14:textId="211A765D" w:rsidR="00E22C4D" w:rsidRPr="00E22C4D" w:rsidRDefault="00E22C4D" w:rsidP="00762F55">
            <w:pPr>
              <w:pStyle w:val="Heading1"/>
              <w:outlineLvl w:val="0"/>
              <w:rPr>
                <w:b w:val="0"/>
                <w:bCs w:val="0"/>
              </w:rPr>
            </w:pPr>
            <w:r w:rsidRPr="00E22C4D">
              <w:rPr>
                <w:b w:val="0"/>
                <w:bCs w:val="0"/>
              </w:rPr>
              <w:t>Feedback - Atrial fibrillation: anticoagulation</w:t>
            </w:r>
          </w:p>
        </w:tc>
      </w:tr>
      <w:tr w:rsidR="00E22C4D" w14:paraId="642D03E3" w14:textId="77777777" w:rsidTr="00762F55">
        <w:tc>
          <w:tcPr>
            <w:tcW w:w="667" w:type="pct"/>
          </w:tcPr>
          <w:p w14:paraId="650D3C5B" w14:textId="77777777" w:rsidR="00E22C4D" w:rsidRPr="00D52916" w:rsidRDefault="00E22C4D" w:rsidP="00762F55">
            <w:pPr>
              <w:pStyle w:val="Numberedlist"/>
              <w:numPr>
                <w:ilvl w:val="0"/>
                <w:numId w:val="0"/>
              </w:numPr>
              <w:rPr>
                <w:rFonts w:asciiTheme="minorHAnsi" w:hAnsiTheme="minorHAnsi" w:cstheme="minorHAnsi"/>
              </w:rPr>
            </w:pPr>
            <w:r w:rsidRPr="00D52916">
              <w:rPr>
                <w:rFonts w:asciiTheme="minorHAnsi" w:hAnsiTheme="minorHAnsi" w:cstheme="minorHAnsi"/>
              </w:rPr>
              <w:t>1</w:t>
            </w:r>
          </w:p>
        </w:tc>
        <w:tc>
          <w:tcPr>
            <w:tcW w:w="1846" w:type="pct"/>
          </w:tcPr>
          <w:p w14:paraId="4553554B" w14:textId="39158BD9" w:rsidR="00E22C4D" w:rsidRPr="00D52916" w:rsidRDefault="00E22C4D" w:rsidP="00762F55">
            <w:pPr>
              <w:rPr>
                <w:rFonts w:asciiTheme="minorHAnsi" w:hAnsiTheme="minorHAnsi" w:cstheme="minorHAnsi"/>
              </w:rPr>
            </w:pPr>
            <w:r w:rsidRPr="00D52916">
              <w:rPr>
                <w:rFonts w:asciiTheme="minorHAnsi" w:hAnsiTheme="minorHAnsi" w:cstheme="minorHAnsi"/>
              </w:rPr>
              <w:t>Do you think there are any barriers to implementing the care described by this indicator?</w:t>
            </w:r>
          </w:p>
        </w:tc>
        <w:tc>
          <w:tcPr>
            <w:tcW w:w="2487" w:type="pct"/>
          </w:tcPr>
          <w:p w14:paraId="28FBEFD8" w14:textId="77777777" w:rsidR="00E22C4D" w:rsidRDefault="00E22C4D" w:rsidP="00762F55"/>
        </w:tc>
      </w:tr>
      <w:tr w:rsidR="00E22C4D" w14:paraId="6E839167" w14:textId="77777777" w:rsidTr="00762F55">
        <w:tc>
          <w:tcPr>
            <w:tcW w:w="667" w:type="pct"/>
          </w:tcPr>
          <w:p w14:paraId="2DFB142D" w14:textId="77777777" w:rsidR="00E22C4D" w:rsidRPr="00D52916" w:rsidRDefault="00E22C4D" w:rsidP="00762F55">
            <w:pPr>
              <w:pStyle w:val="Numberedlist"/>
              <w:numPr>
                <w:ilvl w:val="0"/>
                <w:numId w:val="0"/>
              </w:numPr>
              <w:rPr>
                <w:rFonts w:asciiTheme="minorHAnsi" w:hAnsiTheme="minorHAnsi" w:cstheme="minorHAnsi"/>
              </w:rPr>
            </w:pPr>
            <w:r w:rsidRPr="00D52916">
              <w:rPr>
                <w:rFonts w:asciiTheme="minorHAnsi" w:hAnsiTheme="minorHAnsi" w:cstheme="minorHAnsi"/>
              </w:rPr>
              <w:t>2</w:t>
            </w:r>
          </w:p>
        </w:tc>
        <w:tc>
          <w:tcPr>
            <w:tcW w:w="1846" w:type="pct"/>
          </w:tcPr>
          <w:p w14:paraId="3B7E2812" w14:textId="0AA2E611" w:rsidR="00E22C4D" w:rsidRPr="00D52916" w:rsidRDefault="00E22C4D" w:rsidP="00762F55">
            <w:pPr>
              <w:rPr>
                <w:rFonts w:asciiTheme="minorHAnsi" w:hAnsiTheme="minorHAnsi" w:cstheme="minorHAnsi"/>
              </w:rPr>
            </w:pPr>
            <w:r w:rsidRPr="00D52916">
              <w:rPr>
                <w:rFonts w:asciiTheme="minorHAnsi" w:hAnsiTheme="minorHAnsi" w:cstheme="minorHAnsi"/>
              </w:rPr>
              <w:t>Do you think there are potential unintended consequences to implementing/ using this indicator?</w:t>
            </w:r>
          </w:p>
        </w:tc>
        <w:tc>
          <w:tcPr>
            <w:tcW w:w="2487" w:type="pct"/>
          </w:tcPr>
          <w:p w14:paraId="71D409A9" w14:textId="77777777" w:rsidR="00E22C4D" w:rsidRDefault="00E22C4D" w:rsidP="00762F55"/>
        </w:tc>
      </w:tr>
      <w:tr w:rsidR="00E22C4D" w14:paraId="45D2A747" w14:textId="77777777" w:rsidTr="00762F55">
        <w:tc>
          <w:tcPr>
            <w:tcW w:w="667" w:type="pct"/>
          </w:tcPr>
          <w:p w14:paraId="486E03BE" w14:textId="77777777" w:rsidR="00E22C4D" w:rsidRPr="00D52916" w:rsidRDefault="00E22C4D" w:rsidP="00762F55">
            <w:pPr>
              <w:pStyle w:val="Numberedlist"/>
              <w:numPr>
                <w:ilvl w:val="0"/>
                <w:numId w:val="0"/>
              </w:numPr>
              <w:rPr>
                <w:rFonts w:asciiTheme="minorHAnsi" w:hAnsiTheme="minorHAnsi" w:cstheme="minorHAnsi"/>
              </w:rPr>
            </w:pPr>
            <w:r w:rsidRPr="00D52916">
              <w:rPr>
                <w:rFonts w:asciiTheme="minorHAnsi" w:hAnsiTheme="minorHAnsi" w:cstheme="minorHAnsi"/>
              </w:rPr>
              <w:t>3</w:t>
            </w:r>
          </w:p>
        </w:tc>
        <w:tc>
          <w:tcPr>
            <w:tcW w:w="1846" w:type="pct"/>
          </w:tcPr>
          <w:p w14:paraId="71BCF4E2" w14:textId="2660D2AC" w:rsidR="00E22C4D" w:rsidRPr="00D52916" w:rsidRDefault="00E22C4D" w:rsidP="00762F55">
            <w:pPr>
              <w:rPr>
                <w:rFonts w:asciiTheme="minorHAnsi" w:hAnsiTheme="minorHAnsi" w:cstheme="minorHAnsi"/>
              </w:rPr>
            </w:pPr>
            <w:r w:rsidRPr="00D52916">
              <w:rPr>
                <w:rFonts w:asciiTheme="minorHAnsi" w:hAnsiTheme="minorHAnsi" w:cstheme="minorHAnsi"/>
              </w:rPr>
              <w:t>Do you think there is potential for differential impact (in respect of age, disability, gender and gender reassignment, pregnancy and maternity, race, religion or belief, and sexual orientation)? If so, please state whether this is adverse or positive and for which group.</w:t>
            </w:r>
          </w:p>
        </w:tc>
        <w:tc>
          <w:tcPr>
            <w:tcW w:w="2487" w:type="pct"/>
          </w:tcPr>
          <w:p w14:paraId="790B6946" w14:textId="77777777" w:rsidR="00E22C4D" w:rsidRDefault="00E22C4D" w:rsidP="00762F55"/>
        </w:tc>
      </w:tr>
      <w:tr w:rsidR="00E22C4D" w14:paraId="6C4C888C" w14:textId="77777777" w:rsidTr="00762F55">
        <w:tc>
          <w:tcPr>
            <w:tcW w:w="667" w:type="pct"/>
          </w:tcPr>
          <w:p w14:paraId="3D682A95" w14:textId="77777777" w:rsidR="00E22C4D" w:rsidRPr="00D52916" w:rsidRDefault="00E22C4D" w:rsidP="00762F55">
            <w:pPr>
              <w:pStyle w:val="Numberedlist"/>
              <w:numPr>
                <w:ilvl w:val="0"/>
                <w:numId w:val="0"/>
              </w:numPr>
              <w:rPr>
                <w:rFonts w:asciiTheme="minorHAnsi" w:hAnsiTheme="minorHAnsi" w:cstheme="minorHAnsi"/>
              </w:rPr>
            </w:pPr>
            <w:r w:rsidRPr="00D52916">
              <w:rPr>
                <w:rFonts w:asciiTheme="minorHAnsi" w:hAnsiTheme="minorHAnsi" w:cstheme="minorHAnsi"/>
              </w:rPr>
              <w:t>4</w:t>
            </w:r>
          </w:p>
        </w:tc>
        <w:tc>
          <w:tcPr>
            <w:tcW w:w="1846" w:type="pct"/>
          </w:tcPr>
          <w:p w14:paraId="20A0CF3B" w14:textId="6B7EE8AC" w:rsidR="00E22C4D" w:rsidRPr="00D52916" w:rsidRDefault="00E22C4D" w:rsidP="00762F55">
            <w:pPr>
              <w:rPr>
                <w:rFonts w:asciiTheme="minorHAnsi" w:hAnsiTheme="minorHAnsi" w:cstheme="minorHAnsi"/>
              </w:rPr>
            </w:pPr>
            <w:r w:rsidRPr="00D52916">
              <w:rPr>
                <w:rFonts w:asciiTheme="minorHAnsi" w:hAnsiTheme="minorHAnsi" w:cstheme="minorHAnsi"/>
              </w:rPr>
              <w:t>If you think this indicator may have an adverse impact in different groups in the community, can you suggest how it might be delivered differently to different groups to reduce health inequalities?</w:t>
            </w:r>
          </w:p>
        </w:tc>
        <w:tc>
          <w:tcPr>
            <w:tcW w:w="2487" w:type="pct"/>
          </w:tcPr>
          <w:p w14:paraId="543ABC09" w14:textId="77777777" w:rsidR="00E22C4D" w:rsidRDefault="00E22C4D" w:rsidP="00762F55"/>
        </w:tc>
      </w:tr>
      <w:tr w:rsidR="00E22C4D" w14:paraId="6A9D10B1" w14:textId="77777777" w:rsidTr="00762F55">
        <w:tc>
          <w:tcPr>
            <w:tcW w:w="667" w:type="pct"/>
          </w:tcPr>
          <w:p w14:paraId="4F1F568C" w14:textId="77777777" w:rsidR="00E22C4D" w:rsidRPr="00D52916" w:rsidRDefault="00E22C4D" w:rsidP="00762F55">
            <w:pPr>
              <w:rPr>
                <w:rFonts w:asciiTheme="minorHAnsi" w:hAnsiTheme="minorHAnsi" w:cstheme="minorHAnsi"/>
              </w:rPr>
            </w:pPr>
            <w:r w:rsidRPr="00D52916">
              <w:rPr>
                <w:rFonts w:asciiTheme="minorHAnsi" w:hAnsiTheme="minorHAnsi" w:cstheme="minorHAnsi"/>
              </w:rPr>
              <w:t>Other comments</w:t>
            </w:r>
          </w:p>
        </w:tc>
        <w:tc>
          <w:tcPr>
            <w:tcW w:w="4333" w:type="pct"/>
            <w:gridSpan w:val="2"/>
          </w:tcPr>
          <w:p w14:paraId="00482416" w14:textId="77777777" w:rsidR="00E22C4D" w:rsidRDefault="00E22C4D" w:rsidP="00762F55"/>
        </w:tc>
      </w:tr>
    </w:tbl>
    <w:p w14:paraId="40415C20" w14:textId="77777777" w:rsidR="00D52916" w:rsidRDefault="00D52916" w:rsidP="00D52916">
      <w:pPr>
        <w:pStyle w:val="Heading1"/>
      </w:pPr>
      <w:bookmarkStart w:id="36" w:name="_Toc115101570"/>
      <w:bookmarkStart w:id="37" w:name="_Hlk114220452"/>
      <w:r>
        <w:t>Lipid modification: secondary prevention</w:t>
      </w:r>
      <w:bookmarkEnd w:id="36"/>
    </w:p>
    <w:p w14:paraId="267806FA" w14:textId="77777777" w:rsidR="00D52916" w:rsidRDefault="00D52916" w:rsidP="00D52916">
      <w:pPr>
        <w:pStyle w:val="Paragraphnonumbers"/>
      </w:pPr>
      <w:r>
        <w:t xml:space="preserve">IND2022-133: </w:t>
      </w:r>
      <w:bookmarkStart w:id="38" w:name="_Hlk114052848"/>
      <w:r>
        <w:t xml:space="preserve">The percentage of patients with CVD in whom the last recorded non-HDL cholesterol (measured in the preceding 12 months) is less than 3.3 mmol/L. </w:t>
      </w:r>
      <w:bookmarkEnd w:id="38"/>
    </w:p>
    <w:p w14:paraId="65B06602" w14:textId="77777777" w:rsidR="00D52916" w:rsidRPr="00124B85" w:rsidRDefault="00D52916" w:rsidP="00D52916">
      <w:pPr>
        <w:pStyle w:val="Heading2"/>
      </w:pPr>
      <w:r w:rsidRPr="00124B85">
        <w:lastRenderedPageBreak/>
        <w:t>Indicator type</w:t>
      </w:r>
    </w:p>
    <w:p w14:paraId="3B46359D" w14:textId="77777777" w:rsidR="00D52916" w:rsidRPr="00124B85" w:rsidRDefault="00D52916" w:rsidP="00D52916">
      <w:pPr>
        <w:pStyle w:val="Paragraphnonumbers"/>
      </w:pPr>
      <w:r w:rsidRPr="00124B85">
        <w:t>General practice indicator suitable for use in the QOF</w:t>
      </w:r>
    </w:p>
    <w:p w14:paraId="0F83AE8A" w14:textId="77777777" w:rsidR="00D52916" w:rsidRDefault="00D52916" w:rsidP="00D52916">
      <w:pPr>
        <w:pStyle w:val="Heading2"/>
      </w:pPr>
      <w:r>
        <w:t>Rationale</w:t>
      </w:r>
    </w:p>
    <w:p w14:paraId="49CBAA31" w14:textId="77777777" w:rsidR="00D52916" w:rsidRDefault="00D52916" w:rsidP="00D52916">
      <w:pPr>
        <w:pStyle w:val="Paragraphnonumbers"/>
      </w:pPr>
      <w:r w:rsidRPr="00124B85">
        <w:t>This indicator aims to drive population level improvements</w:t>
      </w:r>
      <w:r>
        <w:t xml:space="preserve"> in</w:t>
      </w:r>
      <w:r w:rsidRPr="00124B85">
        <w:t xml:space="preserve"> secondary prevention of cardiovascular disease. </w:t>
      </w:r>
      <w:bookmarkStart w:id="39" w:name="_Hlk114233406"/>
      <w:r>
        <w:t>It</w:t>
      </w:r>
      <w:r w:rsidRPr="00124B85">
        <w:t xml:space="preserve"> uses a non-HDL cholesterol level of 3.3</w:t>
      </w:r>
      <w:r>
        <w:t> </w:t>
      </w:r>
      <w:r w:rsidRPr="00124B85">
        <w:t>mmol/L as a population level marker of lipid management for people with cardiovascular disease.</w:t>
      </w:r>
    </w:p>
    <w:bookmarkEnd w:id="39"/>
    <w:p w14:paraId="254CED46" w14:textId="77777777" w:rsidR="00D52916" w:rsidRDefault="00D52916" w:rsidP="00D52916">
      <w:pPr>
        <w:pStyle w:val="Heading2"/>
      </w:pPr>
      <w:r>
        <w:t xml:space="preserve">Source guidance  </w:t>
      </w:r>
    </w:p>
    <w:bookmarkStart w:id="40" w:name="_Hlk115341911"/>
    <w:p w14:paraId="1337573F" w14:textId="77777777" w:rsidR="00D52916" w:rsidRDefault="00D52916" w:rsidP="00D52916">
      <w:pPr>
        <w:pStyle w:val="Paragraphnonumbers"/>
      </w:pPr>
      <w:r>
        <w:fldChar w:fldCharType="begin"/>
      </w:r>
      <w:r>
        <w:instrText xml:space="preserve"> HYPERLINK "https://www.nice.org.uk/guidance/cg181" </w:instrText>
      </w:r>
      <w:r>
        <w:fldChar w:fldCharType="separate"/>
      </w:r>
      <w:r w:rsidRPr="009A24F2">
        <w:rPr>
          <w:rStyle w:val="Hyperlink"/>
        </w:rPr>
        <w:t>NICE’s guideline on cardiovascular disease</w:t>
      </w:r>
      <w:r>
        <w:rPr>
          <w:rStyle w:val="Hyperlink"/>
        </w:rPr>
        <w:fldChar w:fldCharType="end"/>
      </w:r>
      <w:r>
        <w:t xml:space="preserve"> recommends lifestyle modification and lipid lowering therapies for the secondary prevention of cardiovascular disease but does not include an absolute target for non-HDL cholesterol levels</w:t>
      </w:r>
      <w:r w:rsidRPr="00526439">
        <w:t>.</w:t>
      </w:r>
      <w:r>
        <w:t xml:space="preserve"> The draft indicator has been developed specifically for use in the QOF following stakeholder feedback that </w:t>
      </w:r>
      <w:r w:rsidRPr="0084021E">
        <w:t xml:space="preserve">a pragmatic means of monitoring lipid management that does not rely on baseline readings </w:t>
      </w:r>
      <w:r>
        <w:t xml:space="preserve">or calculating a 40% reduction in non-HDL </w:t>
      </w:r>
      <w:r w:rsidRPr="0084021E">
        <w:t>would be useful</w:t>
      </w:r>
      <w:r>
        <w:t xml:space="preserve">. </w:t>
      </w:r>
    </w:p>
    <w:p w14:paraId="4D1AC3EF" w14:textId="77777777" w:rsidR="00D52916" w:rsidRDefault="00D52916" w:rsidP="00D52916">
      <w:pPr>
        <w:pStyle w:val="Paragraphnonumbers"/>
      </w:pPr>
      <w:r>
        <w:t>B</w:t>
      </w:r>
      <w:r w:rsidRPr="0084021E">
        <w:t>aseline cholesterol readings are not always availabl</w:t>
      </w:r>
      <w:r>
        <w:t>e, and NICE have heard that the c</w:t>
      </w:r>
      <w:r w:rsidRPr="0084021E">
        <w:t xml:space="preserve">urrent </w:t>
      </w:r>
      <w:r>
        <w:t xml:space="preserve">national </w:t>
      </w:r>
      <w:r w:rsidRPr="0084021E">
        <w:t xml:space="preserve">data extraction system </w:t>
      </w:r>
      <w:r>
        <w:t xml:space="preserve">for QOF (GPES) </w:t>
      </w:r>
      <w:r w:rsidRPr="0084021E">
        <w:t>cannot calculate patient level percentage reductions</w:t>
      </w:r>
      <w:r>
        <w:t xml:space="preserve"> in non-HDL.</w:t>
      </w:r>
    </w:p>
    <w:p w14:paraId="16DB7C92" w14:textId="77777777" w:rsidR="00D52916" w:rsidRDefault="00D52916" w:rsidP="00D52916">
      <w:pPr>
        <w:pStyle w:val="Paragraphnonumbers"/>
      </w:pPr>
      <w:r w:rsidRPr="00124B85">
        <w:t xml:space="preserve">A non-HDL </w:t>
      </w:r>
      <w:r>
        <w:t>level</w:t>
      </w:r>
      <w:r w:rsidRPr="00124B85">
        <w:t xml:space="preserve"> of less than 3.3</w:t>
      </w:r>
      <w:r>
        <w:t> </w:t>
      </w:r>
      <w:r w:rsidRPr="00124B85">
        <w:t xml:space="preserve">mmol/L has been chosen </w:t>
      </w:r>
      <w:r>
        <w:t>as a starting point for incremental improvements at a population level. As such, it is higher than some treatment goals included in the European Society of Cardiology (ESC) and Joint British Societies</w:t>
      </w:r>
      <w:r w:rsidRPr="003D3ED6">
        <w:t xml:space="preserve"> </w:t>
      </w:r>
      <w:r>
        <w:t xml:space="preserve">(JBS) lipid management guidelines. It </w:t>
      </w:r>
      <w:r w:rsidRPr="00124B85">
        <w:t>draw</w:t>
      </w:r>
      <w:r>
        <w:t>s</w:t>
      </w:r>
      <w:r w:rsidRPr="00124B85">
        <w:t xml:space="preserve"> on current practice</w:t>
      </w:r>
      <w:r>
        <w:t xml:space="preserve"> data from </w:t>
      </w:r>
      <w:hyperlink r:id="rId19" w:history="1">
        <w:r w:rsidRPr="00526241">
          <w:rPr>
            <w:rStyle w:val="Hyperlink"/>
          </w:rPr>
          <w:t>CVDPrevent</w:t>
        </w:r>
      </w:hyperlink>
      <w:r>
        <w:t xml:space="preserve"> </w:t>
      </w:r>
      <w:r w:rsidRPr="00124B85">
        <w:t xml:space="preserve">and </w:t>
      </w:r>
      <w:r>
        <w:t xml:space="preserve">guidance from </w:t>
      </w:r>
      <w:r w:rsidRPr="00124B85">
        <w:t>NICE</w:t>
      </w:r>
      <w:r>
        <w:t>’s</w:t>
      </w:r>
      <w:r w:rsidRPr="00124B85">
        <w:t xml:space="preserve"> technology appraisal</w:t>
      </w:r>
      <w:r>
        <w:t xml:space="preserve"> programme</w:t>
      </w:r>
      <w:r w:rsidRPr="00124B85">
        <w:t xml:space="preserve">. </w:t>
      </w:r>
      <w:r w:rsidRPr="00E92C6E">
        <w:t>CVDPrevent</w:t>
      </w:r>
      <w:r>
        <w:t xml:space="preserve"> d</w:t>
      </w:r>
      <w:r w:rsidRPr="00526241">
        <w:t>ata published in Sept 2022 reports that for patients aged 18 and over with CVD, only 23.7% had non-HDL less than 2.5mmol/l or LDL-c less than 1.8mmol/l using measurements recorded in the preceding 12 months</w:t>
      </w:r>
      <w:r>
        <w:t>.</w:t>
      </w:r>
    </w:p>
    <w:bookmarkEnd w:id="40"/>
    <w:p w14:paraId="7D46B138" w14:textId="77777777" w:rsidR="00D52916" w:rsidRDefault="00D52916" w:rsidP="00D52916">
      <w:pPr>
        <w:pStyle w:val="Paragraphnonumbers"/>
      </w:pPr>
      <w:r>
        <w:t>A</w:t>
      </w:r>
      <w:r w:rsidRPr="0084021E">
        <w:t xml:space="preserve"> non-HDL cholesterol level of </w:t>
      </w:r>
      <w:r>
        <w:t xml:space="preserve">less than </w:t>
      </w:r>
      <w:r w:rsidRPr="0084021E">
        <w:t>3.3</w:t>
      </w:r>
      <w:r>
        <w:t> </w:t>
      </w:r>
      <w:r w:rsidRPr="0084021E">
        <w:t xml:space="preserve">mmol/L </w:t>
      </w:r>
      <w:r w:rsidRPr="00124B85">
        <w:t xml:space="preserve">should not be considered as a treatment </w:t>
      </w:r>
      <w:r>
        <w:t>target</w:t>
      </w:r>
      <w:r w:rsidRPr="00124B85">
        <w:t xml:space="preserve"> for individual patients</w:t>
      </w:r>
      <w:r>
        <w:t xml:space="preserve">, and it </w:t>
      </w:r>
      <w:r w:rsidRPr="00800A22">
        <w:rPr>
          <w:b/>
          <w:bCs/>
        </w:rPr>
        <w:t>does not</w:t>
      </w:r>
      <w:r>
        <w:t xml:space="preserve"> update or replace current NICE guidance.</w:t>
      </w:r>
      <w:r w:rsidRPr="0084021E">
        <w:t xml:space="preserve"> </w:t>
      </w:r>
      <w:r w:rsidRPr="00526439">
        <w:t>This indicator, if progressed, will be reviewed when updated NICE guidance is available.</w:t>
      </w:r>
      <w:r>
        <w:t xml:space="preserve"> </w:t>
      </w:r>
    </w:p>
    <w:p w14:paraId="1C09BCCA" w14:textId="77777777" w:rsidR="00D52916" w:rsidRPr="00800A22" w:rsidRDefault="00D52916" w:rsidP="00D52916">
      <w:pPr>
        <w:pStyle w:val="Paragraphnonumbers"/>
        <w:rPr>
          <w:rFonts w:cs="Arial"/>
          <w:b/>
          <w:bCs/>
          <w:color w:val="228096"/>
          <w:sz w:val="28"/>
          <w:szCs w:val="28"/>
          <w:lang w:eastAsia="en-US"/>
        </w:rPr>
      </w:pPr>
      <w:r w:rsidRPr="00800A22">
        <w:rPr>
          <w:rFonts w:cs="Arial"/>
          <w:b/>
          <w:bCs/>
          <w:color w:val="228096"/>
          <w:sz w:val="28"/>
          <w:szCs w:val="28"/>
          <w:lang w:eastAsia="en-US"/>
        </w:rPr>
        <w:t>Specification</w:t>
      </w:r>
    </w:p>
    <w:p w14:paraId="3C9C4635" w14:textId="77777777" w:rsidR="00D52916" w:rsidRDefault="00D52916" w:rsidP="00D52916">
      <w:pPr>
        <w:pStyle w:val="Paragraphnonumbers"/>
      </w:pPr>
      <w:r>
        <w:lastRenderedPageBreak/>
        <w:t xml:space="preserve">Numerator: </w:t>
      </w:r>
      <w:r w:rsidRPr="00124B85">
        <w:t xml:space="preserve">the number in the denominator </w:t>
      </w:r>
      <w:r>
        <w:t>in whom the</w:t>
      </w:r>
      <w:r w:rsidRPr="00124B85">
        <w:t xml:space="preserve"> last recorded non-HDL cholesterol (measured in the </w:t>
      </w:r>
      <w:r>
        <w:t>preceding</w:t>
      </w:r>
      <w:r w:rsidRPr="00124B85">
        <w:t xml:space="preserve"> 12 months) is </w:t>
      </w:r>
      <w:r>
        <w:t xml:space="preserve">less than </w:t>
      </w:r>
      <w:r w:rsidRPr="00124B85">
        <w:t>3.3</w:t>
      </w:r>
      <w:r>
        <w:t> </w:t>
      </w:r>
      <w:r w:rsidRPr="00124B85">
        <w:t>mmol/L</w:t>
      </w:r>
      <w:r>
        <w:t>.</w:t>
      </w:r>
    </w:p>
    <w:p w14:paraId="523E3B44" w14:textId="77777777" w:rsidR="00D52916" w:rsidRPr="00867CDA" w:rsidRDefault="00D52916" w:rsidP="00D52916">
      <w:pPr>
        <w:pStyle w:val="Paragraphnonumbers"/>
      </w:pPr>
      <w:r>
        <w:t xml:space="preserve">Denominator: </w:t>
      </w:r>
      <w:r w:rsidRPr="00124B85">
        <w:t xml:space="preserve">the number of patients with </w:t>
      </w:r>
      <w:r>
        <w:t>CVD</w:t>
      </w:r>
      <w:r w:rsidRPr="00124B85">
        <w:t>.</w:t>
      </w:r>
    </w:p>
    <w:p w14:paraId="38747BA4" w14:textId="77777777" w:rsidR="00D52916" w:rsidRDefault="00D52916" w:rsidP="00D52916">
      <w:pPr>
        <w:pStyle w:val="Paragraphnonumbers"/>
      </w:pPr>
      <w:r>
        <w:t xml:space="preserve">Definition: CVD is defined as angina, previous myocardial infarction, revascularisations, ischaemic stroke or TIA or symptomatic peripheral arterial disease. Existing QOF registers could be used for coronary heart disease (CHD001), stroke or TIA (STIA001 excluding haemorrhagic stroke) and symptomatic peripheral arterial disease (PAD001). </w:t>
      </w:r>
    </w:p>
    <w:p w14:paraId="67B8178B" w14:textId="77777777" w:rsidR="00D52916" w:rsidRDefault="00D52916" w:rsidP="00D52916">
      <w:pPr>
        <w:pStyle w:val="Paragraphnonumbers"/>
      </w:pPr>
      <w:r>
        <w:t xml:space="preserve">Exclusions: Patients with a diagnosis of familial hypercholesterolaemia. </w:t>
      </w:r>
    </w:p>
    <w:p w14:paraId="79A6AF1F" w14:textId="415000EB" w:rsidR="00D52916" w:rsidRDefault="00D52916" w:rsidP="00D72624">
      <w:pPr>
        <w:pStyle w:val="Paragraphnonumbers"/>
      </w:pPr>
      <w:r w:rsidRPr="00606C2B">
        <w:t xml:space="preserve">Personalised care adjustments should be considered to account for situations where the patient declines, </w:t>
      </w:r>
      <w:r w:rsidRPr="00705678">
        <w:t>does not respond to invite</w:t>
      </w:r>
      <w:r w:rsidRPr="00705678" w:rsidDel="00705678">
        <w:t xml:space="preserve"> </w:t>
      </w:r>
      <w:r>
        <w:t>or if lipid management is not appropriate for the individual.</w:t>
      </w:r>
    </w:p>
    <w:tbl>
      <w:tblPr>
        <w:tblStyle w:val="TableGrid"/>
        <w:tblW w:w="5000" w:type="pct"/>
        <w:tblLook w:val="04A0" w:firstRow="1" w:lastRow="0" w:firstColumn="1" w:lastColumn="0" w:noHBand="0" w:noVBand="1"/>
      </w:tblPr>
      <w:tblGrid>
        <w:gridCol w:w="1891"/>
        <w:gridCol w:w="5233"/>
        <w:gridCol w:w="7050"/>
      </w:tblGrid>
      <w:tr w:rsidR="00E22C4D" w14:paraId="6A773984" w14:textId="77777777" w:rsidTr="00762F55">
        <w:tc>
          <w:tcPr>
            <w:tcW w:w="5000" w:type="pct"/>
            <w:gridSpan w:val="3"/>
          </w:tcPr>
          <w:p w14:paraId="5E908CD2" w14:textId="6476460B" w:rsidR="00E22C4D" w:rsidRPr="00E22C4D" w:rsidRDefault="00E22C4D" w:rsidP="00762F55">
            <w:pPr>
              <w:pStyle w:val="Heading1"/>
              <w:outlineLvl w:val="0"/>
              <w:rPr>
                <w:b w:val="0"/>
                <w:bCs w:val="0"/>
              </w:rPr>
            </w:pPr>
            <w:r>
              <w:rPr>
                <w:b w:val="0"/>
                <w:bCs w:val="0"/>
              </w:rPr>
              <w:t xml:space="preserve">Feedback - </w:t>
            </w:r>
            <w:r w:rsidRPr="00E22C4D">
              <w:rPr>
                <w:b w:val="0"/>
                <w:bCs w:val="0"/>
              </w:rPr>
              <w:t>Lipid modification: secondary prevention</w:t>
            </w:r>
          </w:p>
        </w:tc>
      </w:tr>
      <w:tr w:rsidR="00E22C4D" w14:paraId="1A00E919" w14:textId="77777777" w:rsidTr="00762F55">
        <w:tc>
          <w:tcPr>
            <w:tcW w:w="667" w:type="pct"/>
          </w:tcPr>
          <w:p w14:paraId="7AE66600" w14:textId="77777777" w:rsidR="00E22C4D" w:rsidRPr="00D52916" w:rsidRDefault="00E22C4D" w:rsidP="00762F55">
            <w:pPr>
              <w:pStyle w:val="Numberedlist"/>
              <w:numPr>
                <w:ilvl w:val="0"/>
                <w:numId w:val="0"/>
              </w:numPr>
              <w:rPr>
                <w:rFonts w:asciiTheme="minorHAnsi" w:hAnsiTheme="minorHAnsi" w:cstheme="minorHAnsi"/>
              </w:rPr>
            </w:pPr>
            <w:r w:rsidRPr="00D52916">
              <w:rPr>
                <w:rFonts w:asciiTheme="minorHAnsi" w:hAnsiTheme="minorHAnsi" w:cstheme="minorHAnsi"/>
              </w:rPr>
              <w:t>1</w:t>
            </w:r>
          </w:p>
        </w:tc>
        <w:tc>
          <w:tcPr>
            <w:tcW w:w="1846" w:type="pct"/>
          </w:tcPr>
          <w:p w14:paraId="0D0D8925" w14:textId="7EB106AA" w:rsidR="00E22C4D" w:rsidRPr="00D52916" w:rsidRDefault="00E22C4D" w:rsidP="00762F55">
            <w:pPr>
              <w:rPr>
                <w:rFonts w:asciiTheme="minorHAnsi" w:hAnsiTheme="minorHAnsi" w:cstheme="minorHAnsi"/>
              </w:rPr>
            </w:pPr>
            <w:r w:rsidRPr="00D52916">
              <w:rPr>
                <w:rFonts w:asciiTheme="minorHAnsi" w:hAnsiTheme="minorHAnsi" w:cstheme="minorHAnsi"/>
              </w:rPr>
              <w:t>Do you think there are any barriers to implementing the care described by this indicator?</w:t>
            </w:r>
          </w:p>
        </w:tc>
        <w:tc>
          <w:tcPr>
            <w:tcW w:w="2487" w:type="pct"/>
          </w:tcPr>
          <w:p w14:paraId="5B52FEAC" w14:textId="77777777" w:rsidR="00E22C4D" w:rsidRDefault="00E22C4D" w:rsidP="00762F55"/>
        </w:tc>
      </w:tr>
      <w:tr w:rsidR="00E22C4D" w14:paraId="2F87CF62" w14:textId="77777777" w:rsidTr="00762F55">
        <w:tc>
          <w:tcPr>
            <w:tcW w:w="667" w:type="pct"/>
          </w:tcPr>
          <w:p w14:paraId="2FFB2B0A" w14:textId="77777777" w:rsidR="00E22C4D" w:rsidRPr="00D52916" w:rsidRDefault="00E22C4D" w:rsidP="00762F55">
            <w:pPr>
              <w:pStyle w:val="Numberedlist"/>
              <w:numPr>
                <w:ilvl w:val="0"/>
                <w:numId w:val="0"/>
              </w:numPr>
              <w:rPr>
                <w:rFonts w:asciiTheme="minorHAnsi" w:hAnsiTheme="minorHAnsi" w:cstheme="minorHAnsi"/>
              </w:rPr>
            </w:pPr>
            <w:r w:rsidRPr="00D52916">
              <w:rPr>
                <w:rFonts w:asciiTheme="minorHAnsi" w:hAnsiTheme="minorHAnsi" w:cstheme="minorHAnsi"/>
              </w:rPr>
              <w:t>2</w:t>
            </w:r>
          </w:p>
        </w:tc>
        <w:tc>
          <w:tcPr>
            <w:tcW w:w="1846" w:type="pct"/>
          </w:tcPr>
          <w:p w14:paraId="40932AB9" w14:textId="5D70FE46" w:rsidR="00E22C4D" w:rsidRPr="00D52916" w:rsidRDefault="00E22C4D" w:rsidP="00762F55">
            <w:pPr>
              <w:rPr>
                <w:rFonts w:asciiTheme="minorHAnsi" w:hAnsiTheme="minorHAnsi" w:cstheme="minorHAnsi"/>
              </w:rPr>
            </w:pPr>
            <w:r w:rsidRPr="00D52916">
              <w:rPr>
                <w:rFonts w:asciiTheme="minorHAnsi" w:hAnsiTheme="minorHAnsi" w:cstheme="minorHAnsi"/>
              </w:rPr>
              <w:t>Do you think there are potential unintended consequences to implementing/ using this indicator?</w:t>
            </w:r>
          </w:p>
        </w:tc>
        <w:tc>
          <w:tcPr>
            <w:tcW w:w="2487" w:type="pct"/>
          </w:tcPr>
          <w:p w14:paraId="68DADE1C" w14:textId="77777777" w:rsidR="00E22C4D" w:rsidRDefault="00E22C4D" w:rsidP="00762F55"/>
        </w:tc>
      </w:tr>
      <w:tr w:rsidR="00E22C4D" w14:paraId="2256691C" w14:textId="77777777" w:rsidTr="00762F55">
        <w:tc>
          <w:tcPr>
            <w:tcW w:w="667" w:type="pct"/>
          </w:tcPr>
          <w:p w14:paraId="082BBC12" w14:textId="77777777" w:rsidR="00E22C4D" w:rsidRPr="00D52916" w:rsidRDefault="00E22C4D" w:rsidP="00762F55">
            <w:pPr>
              <w:pStyle w:val="Numberedlist"/>
              <w:numPr>
                <w:ilvl w:val="0"/>
                <w:numId w:val="0"/>
              </w:numPr>
              <w:rPr>
                <w:rFonts w:asciiTheme="minorHAnsi" w:hAnsiTheme="minorHAnsi" w:cstheme="minorHAnsi"/>
              </w:rPr>
            </w:pPr>
            <w:r w:rsidRPr="00D52916">
              <w:rPr>
                <w:rFonts w:asciiTheme="minorHAnsi" w:hAnsiTheme="minorHAnsi" w:cstheme="minorHAnsi"/>
              </w:rPr>
              <w:t>3</w:t>
            </w:r>
          </w:p>
        </w:tc>
        <w:tc>
          <w:tcPr>
            <w:tcW w:w="1846" w:type="pct"/>
          </w:tcPr>
          <w:p w14:paraId="3039DD25" w14:textId="6859B572" w:rsidR="00E22C4D" w:rsidRPr="00D52916" w:rsidRDefault="00E22C4D" w:rsidP="00762F55">
            <w:pPr>
              <w:rPr>
                <w:rFonts w:asciiTheme="minorHAnsi" w:hAnsiTheme="minorHAnsi" w:cstheme="minorHAnsi"/>
              </w:rPr>
            </w:pPr>
            <w:r w:rsidRPr="00D52916">
              <w:rPr>
                <w:rFonts w:asciiTheme="minorHAnsi" w:hAnsiTheme="minorHAnsi" w:cstheme="minorHAnsi"/>
              </w:rPr>
              <w:t>Do you think there is potential for differential impact (in respect of age, disability, gender and gender reassignment, pregnancy and maternity, race, religion or belief, and sexual orientation)? If so, please state whether this is adverse or positive and for which group.</w:t>
            </w:r>
          </w:p>
        </w:tc>
        <w:tc>
          <w:tcPr>
            <w:tcW w:w="2487" w:type="pct"/>
          </w:tcPr>
          <w:p w14:paraId="36E5A0CB" w14:textId="77777777" w:rsidR="00E22C4D" w:rsidRDefault="00E22C4D" w:rsidP="00762F55"/>
        </w:tc>
      </w:tr>
      <w:tr w:rsidR="00E22C4D" w14:paraId="06AC717A" w14:textId="77777777" w:rsidTr="00762F55">
        <w:tc>
          <w:tcPr>
            <w:tcW w:w="667" w:type="pct"/>
          </w:tcPr>
          <w:p w14:paraId="680B1715" w14:textId="77777777" w:rsidR="00E22C4D" w:rsidRPr="00D52916" w:rsidRDefault="00E22C4D" w:rsidP="00762F55">
            <w:pPr>
              <w:pStyle w:val="Numberedlist"/>
              <w:numPr>
                <w:ilvl w:val="0"/>
                <w:numId w:val="0"/>
              </w:numPr>
              <w:rPr>
                <w:rFonts w:asciiTheme="minorHAnsi" w:hAnsiTheme="minorHAnsi" w:cstheme="minorHAnsi"/>
              </w:rPr>
            </w:pPr>
            <w:r w:rsidRPr="00D52916">
              <w:rPr>
                <w:rFonts w:asciiTheme="minorHAnsi" w:hAnsiTheme="minorHAnsi" w:cstheme="minorHAnsi"/>
              </w:rPr>
              <w:t>4</w:t>
            </w:r>
          </w:p>
        </w:tc>
        <w:tc>
          <w:tcPr>
            <w:tcW w:w="1846" w:type="pct"/>
          </w:tcPr>
          <w:p w14:paraId="5EDF210F" w14:textId="5492C2D6" w:rsidR="00E22C4D" w:rsidRPr="00D52916" w:rsidRDefault="00E22C4D" w:rsidP="00762F55">
            <w:pPr>
              <w:rPr>
                <w:rFonts w:asciiTheme="minorHAnsi" w:hAnsiTheme="minorHAnsi" w:cstheme="minorHAnsi"/>
              </w:rPr>
            </w:pPr>
            <w:r w:rsidRPr="00D52916">
              <w:rPr>
                <w:rFonts w:asciiTheme="minorHAnsi" w:hAnsiTheme="minorHAnsi" w:cstheme="minorHAnsi"/>
              </w:rPr>
              <w:t xml:space="preserve">If you think this indicator may have an adverse impact in different groups in the community, can </w:t>
            </w:r>
            <w:r w:rsidRPr="00D52916">
              <w:rPr>
                <w:rFonts w:asciiTheme="minorHAnsi" w:hAnsiTheme="minorHAnsi" w:cstheme="minorHAnsi"/>
              </w:rPr>
              <w:lastRenderedPageBreak/>
              <w:t>you suggest how it might be delivered differently to different groups to reduce health inequalities?</w:t>
            </w:r>
          </w:p>
        </w:tc>
        <w:tc>
          <w:tcPr>
            <w:tcW w:w="2487" w:type="pct"/>
          </w:tcPr>
          <w:p w14:paraId="31042281" w14:textId="77777777" w:rsidR="00E22C4D" w:rsidRDefault="00E22C4D" w:rsidP="00762F55"/>
        </w:tc>
      </w:tr>
      <w:tr w:rsidR="00E22C4D" w14:paraId="509CE279" w14:textId="77777777" w:rsidTr="00762F55">
        <w:tc>
          <w:tcPr>
            <w:tcW w:w="667" w:type="pct"/>
          </w:tcPr>
          <w:p w14:paraId="035A5E2A" w14:textId="02165FF3" w:rsidR="00E22C4D" w:rsidRPr="00D52916" w:rsidRDefault="00E22C4D" w:rsidP="00762F55">
            <w:pPr>
              <w:pStyle w:val="Numberedlist"/>
              <w:numPr>
                <w:ilvl w:val="0"/>
                <w:numId w:val="0"/>
              </w:numPr>
              <w:rPr>
                <w:rFonts w:asciiTheme="minorHAnsi" w:hAnsiTheme="minorHAnsi" w:cstheme="minorHAnsi"/>
              </w:rPr>
            </w:pPr>
            <w:r>
              <w:rPr>
                <w:rFonts w:asciiTheme="minorHAnsi" w:hAnsiTheme="minorHAnsi" w:cstheme="minorHAnsi"/>
              </w:rPr>
              <w:lastRenderedPageBreak/>
              <w:t>5</w:t>
            </w:r>
          </w:p>
        </w:tc>
        <w:tc>
          <w:tcPr>
            <w:tcW w:w="1846" w:type="pct"/>
          </w:tcPr>
          <w:p w14:paraId="3CDB3272" w14:textId="260D9385" w:rsidR="00E22C4D" w:rsidRPr="00D52916" w:rsidRDefault="00E22C4D" w:rsidP="00E22C4D">
            <w:pPr>
              <w:rPr>
                <w:rFonts w:asciiTheme="minorHAnsi" w:hAnsiTheme="minorHAnsi" w:cstheme="minorHAnsi"/>
              </w:rPr>
            </w:pPr>
            <w:r w:rsidRPr="00E22C4D">
              <w:rPr>
                <w:rFonts w:asciiTheme="minorHAnsi" w:hAnsiTheme="minorHAnsi" w:cstheme="minorHAnsi"/>
              </w:rPr>
              <w:t xml:space="preserve">NICE proposed non-HDL level of less than 3.3 mmol/L across a general practice population. Do you agree with using this to drive population level improvements in cholesterol management? If not, what level should be used and why? </w:t>
            </w:r>
          </w:p>
        </w:tc>
        <w:tc>
          <w:tcPr>
            <w:tcW w:w="2487" w:type="pct"/>
          </w:tcPr>
          <w:p w14:paraId="402B1A4D" w14:textId="77777777" w:rsidR="00E22C4D" w:rsidRDefault="00E22C4D" w:rsidP="00762F55"/>
        </w:tc>
      </w:tr>
      <w:tr w:rsidR="00E22C4D" w14:paraId="0C93BAE0" w14:textId="77777777" w:rsidTr="00762F55">
        <w:tc>
          <w:tcPr>
            <w:tcW w:w="667" w:type="pct"/>
          </w:tcPr>
          <w:p w14:paraId="2DA92861" w14:textId="2F6BA22E" w:rsidR="00E22C4D" w:rsidRPr="00D52916" w:rsidRDefault="00E22C4D" w:rsidP="00762F55">
            <w:pPr>
              <w:pStyle w:val="Numberedlist"/>
              <w:numPr>
                <w:ilvl w:val="0"/>
                <w:numId w:val="0"/>
              </w:numPr>
              <w:rPr>
                <w:rFonts w:asciiTheme="minorHAnsi" w:hAnsiTheme="minorHAnsi" w:cstheme="minorHAnsi"/>
              </w:rPr>
            </w:pPr>
            <w:r>
              <w:rPr>
                <w:rFonts w:asciiTheme="minorHAnsi" w:hAnsiTheme="minorHAnsi" w:cstheme="minorHAnsi"/>
              </w:rPr>
              <w:t>6</w:t>
            </w:r>
          </w:p>
        </w:tc>
        <w:tc>
          <w:tcPr>
            <w:tcW w:w="1846" w:type="pct"/>
          </w:tcPr>
          <w:p w14:paraId="0EC48E83" w14:textId="77777777" w:rsidR="00E22C4D" w:rsidRPr="00E22C4D" w:rsidRDefault="00E22C4D" w:rsidP="00E22C4D">
            <w:pPr>
              <w:rPr>
                <w:rFonts w:asciiTheme="minorHAnsi" w:hAnsiTheme="minorHAnsi" w:cstheme="minorHAnsi"/>
              </w:rPr>
            </w:pPr>
            <w:r w:rsidRPr="00E22C4D">
              <w:rPr>
                <w:rFonts w:asciiTheme="minorHAnsi" w:hAnsiTheme="minorHAnsi" w:cstheme="minorHAnsi"/>
              </w:rPr>
              <w:t>Should the indicator include an LDL component alongside non-HDL? For example:</w:t>
            </w:r>
          </w:p>
          <w:p w14:paraId="4D7EE4B5" w14:textId="1D495F37" w:rsidR="00E22C4D" w:rsidRPr="00D72624" w:rsidRDefault="00E22C4D" w:rsidP="00E22C4D">
            <w:pPr>
              <w:rPr>
                <w:rFonts w:asciiTheme="minorHAnsi" w:hAnsiTheme="minorHAnsi" w:cstheme="minorHAnsi"/>
                <w:i/>
                <w:iCs/>
              </w:rPr>
            </w:pPr>
            <w:r w:rsidRPr="00E22C4D">
              <w:rPr>
                <w:rFonts w:asciiTheme="minorHAnsi" w:hAnsiTheme="minorHAnsi" w:cstheme="minorHAnsi"/>
                <w:i/>
                <w:iCs/>
              </w:rPr>
              <w:t>‘The percentage of patients with CVD in whom the last recorded non-HDL cholesterol (measured in the preceding 12 months) is less than 3.3 mmol/L, or where this is missing a recording of LDL cholesterol in the preceding 12 months that is less than 2.6 mmol/L’</w:t>
            </w:r>
          </w:p>
        </w:tc>
        <w:tc>
          <w:tcPr>
            <w:tcW w:w="2487" w:type="pct"/>
          </w:tcPr>
          <w:p w14:paraId="1818DAEF" w14:textId="77777777" w:rsidR="00E22C4D" w:rsidRDefault="00E22C4D" w:rsidP="00762F55"/>
        </w:tc>
      </w:tr>
      <w:tr w:rsidR="00E22C4D" w14:paraId="0FB87013" w14:textId="77777777" w:rsidTr="00762F55">
        <w:tc>
          <w:tcPr>
            <w:tcW w:w="667" w:type="pct"/>
          </w:tcPr>
          <w:p w14:paraId="1A74D1C2" w14:textId="4F397B54" w:rsidR="00E22C4D" w:rsidRPr="00D52916" w:rsidRDefault="00E22C4D" w:rsidP="00762F55">
            <w:pPr>
              <w:pStyle w:val="Numberedlist"/>
              <w:numPr>
                <w:ilvl w:val="0"/>
                <w:numId w:val="0"/>
              </w:numPr>
              <w:rPr>
                <w:rFonts w:asciiTheme="minorHAnsi" w:hAnsiTheme="minorHAnsi" w:cstheme="minorHAnsi"/>
              </w:rPr>
            </w:pPr>
            <w:r>
              <w:rPr>
                <w:rFonts w:asciiTheme="minorHAnsi" w:hAnsiTheme="minorHAnsi" w:cstheme="minorHAnsi"/>
              </w:rPr>
              <w:t>7</w:t>
            </w:r>
          </w:p>
        </w:tc>
        <w:tc>
          <w:tcPr>
            <w:tcW w:w="1846" w:type="pct"/>
          </w:tcPr>
          <w:p w14:paraId="0E9FC3AA" w14:textId="22D681CC" w:rsidR="00E22C4D" w:rsidRPr="00D52916" w:rsidRDefault="00E22C4D" w:rsidP="00E22C4D">
            <w:pPr>
              <w:rPr>
                <w:rFonts w:asciiTheme="minorHAnsi" w:hAnsiTheme="minorHAnsi" w:cstheme="minorHAnsi"/>
              </w:rPr>
            </w:pPr>
            <w:r w:rsidRPr="00E22C4D">
              <w:rPr>
                <w:rFonts w:asciiTheme="minorHAnsi" w:hAnsiTheme="minorHAnsi" w:cstheme="minorHAnsi"/>
              </w:rPr>
              <w:t>Should patients with a diagnosis of familial hypercholesterolaemia be excluded?</w:t>
            </w:r>
          </w:p>
        </w:tc>
        <w:tc>
          <w:tcPr>
            <w:tcW w:w="2487" w:type="pct"/>
          </w:tcPr>
          <w:p w14:paraId="22220F7A" w14:textId="77777777" w:rsidR="00E22C4D" w:rsidRDefault="00E22C4D" w:rsidP="00762F55"/>
        </w:tc>
      </w:tr>
      <w:tr w:rsidR="00E22C4D" w14:paraId="7AA92484" w14:textId="77777777" w:rsidTr="00762F55">
        <w:tc>
          <w:tcPr>
            <w:tcW w:w="667" w:type="pct"/>
          </w:tcPr>
          <w:p w14:paraId="31B03795" w14:textId="6B3D3455" w:rsidR="00E22C4D" w:rsidRPr="00D52916" w:rsidRDefault="00E22C4D" w:rsidP="00762F55">
            <w:pPr>
              <w:pStyle w:val="Numberedlist"/>
              <w:numPr>
                <w:ilvl w:val="0"/>
                <w:numId w:val="0"/>
              </w:numPr>
              <w:rPr>
                <w:rFonts w:asciiTheme="minorHAnsi" w:hAnsiTheme="minorHAnsi" w:cstheme="minorHAnsi"/>
              </w:rPr>
            </w:pPr>
            <w:r>
              <w:rPr>
                <w:rFonts w:asciiTheme="minorHAnsi" w:hAnsiTheme="minorHAnsi" w:cstheme="minorHAnsi"/>
              </w:rPr>
              <w:t>8</w:t>
            </w:r>
          </w:p>
        </w:tc>
        <w:tc>
          <w:tcPr>
            <w:tcW w:w="1846" w:type="pct"/>
          </w:tcPr>
          <w:p w14:paraId="50512F30" w14:textId="1A3E2729" w:rsidR="00E22C4D" w:rsidRPr="00D52916" w:rsidRDefault="00E22C4D" w:rsidP="00E22C4D">
            <w:pPr>
              <w:rPr>
                <w:rFonts w:asciiTheme="minorHAnsi" w:hAnsiTheme="minorHAnsi" w:cstheme="minorHAnsi"/>
              </w:rPr>
            </w:pPr>
            <w:r w:rsidRPr="00E22C4D">
              <w:rPr>
                <w:rFonts w:asciiTheme="minorHAnsi" w:hAnsiTheme="minorHAnsi" w:cstheme="minorHAnsi"/>
              </w:rPr>
              <w:t>Would a similar indicator focussed on people with chronic kidney disease be useful and should it use the same level of non-HDL cholesterol?</w:t>
            </w:r>
          </w:p>
        </w:tc>
        <w:tc>
          <w:tcPr>
            <w:tcW w:w="2487" w:type="pct"/>
          </w:tcPr>
          <w:p w14:paraId="558C1908" w14:textId="77777777" w:rsidR="00E22C4D" w:rsidRDefault="00E22C4D" w:rsidP="00762F55"/>
        </w:tc>
      </w:tr>
      <w:tr w:rsidR="00E22C4D" w14:paraId="604B6842" w14:textId="77777777" w:rsidTr="00762F55">
        <w:tc>
          <w:tcPr>
            <w:tcW w:w="667" w:type="pct"/>
          </w:tcPr>
          <w:p w14:paraId="208A1B28" w14:textId="77777777" w:rsidR="00E22C4D" w:rsidRPr="00D52916" w:rsidRDefault="00E22C4D" w:rsidP="00762F55">
            <w:pPr>
              <w:rPr>
                <w:rFonts w:asciiTheme="minorHAnsi" w:hAnsiTheme="minorHAnsi" w:cstheme="minorHAnsi"/>
              </w:rPr>
            </w:pPr>
            <w:r w:rsidRPr="00D52916">
              <w:rPr>
                <w:rFonts w:asciiTheme="minorHAnsi" w:hAnsiTheme="minorHAnsi" w:cstheme="minorHAnsi"/>
              </w:rPr>
              <w:t>Other comments</w:t>
            </w:r>
          </w:p>
        </w:tc>
        <w:tc>
          <w:tcPr>
            <w:tcW w:w="4333" w:type="pct"/>
            <w:gridSpan w:val="2"/>
          </w:tcPr>
          <w:p w14:paraId="6D408C18" w14:textId="77777777" w:rsidR="00E22C4D" w:rsidRDefault="00E22C4D" w:rsidP="00762F55"/>
        </w:tc>
      </w:tr>
    </w:tbl>
    <w:p w14:paraId="1AF83917" w14:textId="4E2EE7CD" w:rsidR="00D52916" w:rsidRPr="00D72624" w:rsidRDefault="00D72624" w:rsidP="00D72624">
      <w:pPr>
        <w:pStyle w:val="Heading1"/>
      </w:pPr>
      <w:bookmarkStart w:id="41" w:name="_Toc115101571"/>
      <w:bookmarkEnd w:id="31"/>
      <w:bookmarkEnd w:id="32"/>
      <w:bookmarkEnd w:id="33"/>
      <w:bookmarkEnd w:id="37"/>
      <w:r>
        <w:br w:type="page"/>
      </w:r>
      <w:r w:rsidR="00D52916">
        <w:lastRenderedPageBreak/>
        <w:t>CKD: ARBs and ACE inhibitors</w:t>
      </w:r>
      <w:bookmarkEnd w:id="41"/>
    </w:p>
    <w:p w14:paraId="3FB2E6D2" w14:textId="77777777" w:rsidR="00D52916" w:rsidRDefault="00D52916" w:rsidP="00D52916">
      <w:pPr>
        <w:pStyle w:val="Paragraphnonumbers"/>
      </w:pPr>
      <w:r>
        <w:t xml:space="preserve">IND2022-136: </w:t>
      </w:r>
      <w:r w:rsidRPr="00D800DD">
        <w:t xml:space="preserve">The percentage of patients on the CKD register </w:t>
      </w:r>
      <w:r>
        <w:t xml:space="preserve">and with </w:t>
      </w:r>
      <w:r w:rsidRPr="00D800DD">
        <w:t>an albumin to creatinine ratio (ACR) of 70</w:t>
      </w:r>
      <w:r>
        <w:t> </w:t>
      </w:r>
      <w:r w:rsidRPr="00D800DD">
        <w:t>mg/mmol or more,</w:t>
      </w:r>
      <w:r>
        <w:t xml:space="preserve"> without diabetes,</w:t>
      </w:r>
      <w:r w:rsidRPr="00D800DD">
        <w:t xml:space="preserve"> who are currently treated with an ARB or </w:t>
      </w:r>
      <w:r>
        <w:t xml:space="preserve">an </w:t>
      </w:r>
      <w:r w:rsidRPr="00D800DD">
        <w:t>ACE inhibitor.</w:t>
      </w:r>
    </w:p>
    <w:p w14:paraId="4D4DDA5C" w14:textId="77777777" w:rsidR="00D52916" w:rsidRDefault="00D52916" w:rsidP="00D52916">
      <w:pPr>
        <w:pStyle w:val="Heading2"/>
      </w:pPr>
      <w:r>
        <w:t>Indicator type</w:t>
      </w:r>
    </w:p>
    <w:p w14:paraId="3EBECD9E" w14:textId="77777777" w:rsidR="00D52916" w:rsidRPr="00D800DD" w:rsidRDefault="00D52916" w:rsidP="00D52916">
      <w:pPr>
        <w:pStyle w:val="Paragraphnonumbers"/>
      </w:pPr>
      <w:r w:rsidRPr="00D800DD">
        <w:t>General practice indicator suitable for use in the QOF</w:t>
      </w:r>
    </w:p>
    <w:p w14:paraId="38E30A34" w14:textId="77777777" w:rsidR="00D52916" w:rsidRDefault="00D52916" w:rsidP="00D52916">
      <w:pPr>
        <w:pStyle w:val="Heading2"/>
      </w:pPr>
      <w:r>
        <w:t>Rationale</w:t>
      </w:r>
    </w:p>
    <w:p w14:paraId="790B44A1" w14:textId="77777777" w:rsidR="00D52916" w:rsidRDefault="00D52916" w:rsidP="00D52916">
      <w:pPr>
        <w:pStyle w:val="Paragraphnonumbers"/>
      </w:pPr>
      <w:r w:rsidRPr="00D800DD">
        <w:t xml:space="preserve">Treatment with renin-angiotensin system antagonists such as ACE inhibitors and angiotensin II receptor blockers </w:t>
      </w:r>
      <w:r>
        <w:t xml:space="preserve">(ARBs) </w:t>
      </w:r>
      <w:r w:rsidRPr="00D800DD">
        <w:t>can prevent or delay the progression of CKD, reduce or prevent the development of complications and reduce the risk of cardiovascular disease</w:t>
      </w:r>
      <w:r>
        <w:t>.</w:t>
      </w:r>
    </w:p>
    <w:p w14:paraId="4054C93A" w14:textId="77777777" w:rsidR="00D52916" w:rsidRDefault="00D52916" w:rsidP="00D52916">
      <w:pPr>
        <w:pStyle w:val="Heading2"/>
      </w:pPr>
      <w:r>
        <w:t xml:space="preserve">Source guidance  </w:t>
      </w:r>
    </w:p>
    <w:p w14:paraId="0FB88FEA" w14:textId="77777777" w:rsidR="00D52916" w:rsidRDefault="002B3262" w:rsidP="00D52916">
      <w:pPr>
        <w:pStyle w:val="Paragraphnonumbers"/>
        <w:rPr>
          <w:b/>
          <w:bCs/>
        </w:rPr>
      </w:pPr>
      <w:hyperlink r:id="rId20" w:history="1">
        <w:r w:rsidR="00D52916" w:rsidRPr="00D800DD">
          <w:rPr>
            <w:rStyle w:val="Hyperlink"/>
          </w:rPr>
          <w:t>NICE’s guideline on chronic kidney disease</w:t>
        </w:r>
      </w:hyperlink>
      <w:r w:rsidR="00D52916">
        <w:t xml:space="preserve"> (2021)</w:t>
      </w:r>
      <w:r w:rsidR="00D52916" w:rsidRPr="00091CAD">
        <w:t xml:space="preserve"> recommendation</w:t>
      </w:r>
      <w:r w:rsidR="00D52916">
        <w:t xml:space="preserve"> 1.6.9.</w:t>
      </w:r>
    </w:p>
    <w:p w14:paraId="3675AF51" w14:textId="77777777" w:rsidR="00D52916" w:rsidRDefault="00D52916" w:rsidP="00D52916">
      <w:pPr>
        <w:pStyle w:val="Heading2"/>
      </w:pPr>
      <w:r>
        <w:t>Specification</w:t>
      </w:r>
    </w:p>
    <w:p w14:paraId="5BD38FD0" w14:textId="77777777" w:rsidR="00D52916" w:rsidRDefault="00D52916" w:rsidP="00D52916">
      <w:pPr>
        <w:pStyle w:val="Paragraphnonumbers"/>
      </w:pPr>
      <w:r>
        <w:t xml:space="preserve">Numerator: </w:t>
      </w:r>
      <w:r w:rsidRPr="00D800DD">
        <w:t xml:space="preserve">The number of patients in the denominator who are currently treated with an ARB or </w:t>
      </w:r>
      <w:r>
        <w:t xml:space="preserve">an </w:t>
      </w:r>
      <w:r w:rsidRPr="00D800DD">
        <w:t>ACE inhibitor.</w:t>
      </w:r>
    </w:p>
    <w:p w14:paraId="5E411326" w14:textId="77777777" w:rsidR="00D52916" w:rsidRDefault="00D52916" w:rsidP="00D52916">
      <w:pPr>
        <w:pStyle w:val="Paragraphnonumbers"/>
      </w:pPr>
      <w:r>
        <w:t xml:space="preserve">Denominator: </w:t>
      </w:r>
      <w:r w:rsidRPr="00D800DD">
        <w:t xml:space="preserve">The number of patients on the CKD register </w:t>
      </w:r>
      <w:r>
        <w:t>and with</w:t>
      </w:r>
      <w:r w:rsidRPr="00D800DD">
        <w:t xml:space="preserve"> an ACR of 70</w:t>
      </w:r>
      <w:r>
        <w:t> </w:t>
      </w:r>
      <w:r w:rsidRPr="00D800DD">
        <w:t>mg/mmol or more</w:t>
      </w:r>
      <w:r>
        <w:t>, without diabetes</w:t>
      </w:r>
      <w:r w:rsidRPr="00D800DD">
        <w:t>.</w:t>
      </w:r>
    </w:p>
    <w:p w14:paraId="01888AED" w14:textId="77777777" w:rsidR="00D52916" w:rsidRDefault="00D52916" w:rsidP="00D52916">
      <w:pPr>
        <w:pStyle w:val="Paragraphnonumbers"/>
      </w:pPr>
      <w:r>
        <w:t xml:space="preserve">Definitions: </w:t>
      </w:r>
    </w:p>
    <w:p w14:paraId="6E464BB6" w14:textId="77777777" w:rsidR="00D52916" w:rsidRDefault="00D52916" w:rsidP="00D52916">
      <w:pPr>
        <w:pStyle w:val="Bullets"/>
      </w:pPr>
      <w:r w:rsidRPr="00194000">
        <w:t>Current treatment is defined as a prescription in the last 6 months of the reporting period.</w:t>
      </w:r>
    </w:p>
    <w:p w14:paraId="19D36601" w14:textId="77777777" w:rsidR="00D52916" w:rsidRDefault="00D52916" w:rsidP="00D52916">
      <w:pPr>
        <w:pStyle w:val="Bullets"/>
      </w:pPr>
      <w:r>
        <w:t>The CKD register includes patients aged 18 and over with CKD stages G3a to G5.</w:t>
      </w:r>
    </w:p>
    <w:p w14:paraId="5DFCEE22" w14:textId="77777777" w:rsidR="00D52916" w:rsidRDefault="00D52916" w:rsidP="00D52916">
      <w:pPr>
        <w:pStyle w:val="Bullets"/>
      </w:pPr>
      <w:r>
        <w:lastRenderedPageBreak/>
        <w:t xml:space="preserve">The last recorded reading of ACR should be used for inclusion in the denominator. </w:t>
      </w:r>
    </w:p>
    <w:p w14:paraId="4B4869EA" w14:textId="77777777" w:rsidR="00D52916" w:rsidRDefault="00D52916" w:rsidP="00D52916">
      <w:pPr>
        <w:pStyle w:val="Paragraphnonumbers"/>
      </w:pPr>
      <w:r>
        <w:t>Exclusions: People with diabetes have been excluded from the indicator. People with diabetes and with a diagnosis of nephropathy or microalbuminuria are included in NICE menu indicator NM95 on treatment with an ACE inhibitor or ARB.</w:t>
      </w:r>
    </w:p>
    <w:p w14:paraId="34140E80" w14:textId="77777777" w:rsidR="00D52916" w:rsidRDefault="00D52916" w:rsidP="00D52916">
      <w:pPr>
        <w:pStyle w:val="Paragraphnonumbers"/>
      </w:pPr>
      <w:r w:rsidRPr="00606C2B">
        <w:t xml:space="preserve">Personalised care adjustments or exception reporting should be considered to account for situations where the patient declines, </w:t>
      </w:r>
      <w:r w:rsidRPr="00705678">
        <w:t>does not respond to invite</w:t>
      </w:r>
      <w:r w:rsidRPr="00705678" w:rsidDel="00705678">
        <w:t xml:space="preserve"> </w:t>
      </w:r>
      <w:r>
        <w:t>or if treatment is inappropriate.</w:t>
      </w:r>
    </w:p>
    <w:p w14:paraId="007D0BD6" w14:textId="77777777" w:rsidR="00D52916" w:rsidRDefault="00D52916" w:rsidP="00D52916">
      <w:pPr>
        <w:pStyle w:val="Heading1"/>
      </w:pPr>
      <w:bookmarkStart w:id="42" w:name="_Toc115101572"/>
      <w:r>
        <w:t>CKD: blood pressure (ACR 70 or more)</w:t>
      </w:r>
      <w:bookmarkEnd w:id="42"/>
    </w:p>
    <w:p w14:paraId="583BC138" w14:textId="77777777" w:rsidR="00D52916" w:rsidRDefault="00D52916" w:rsidP="00D52916">
      <w:pPr>
        <w:pStyle w:val="Paragraphnonumbers"/>
      </w:pPr>
      <w:r>
        <w:t xml:space="preserve">IND2022-137: </w:t>
      </w:r>
      <w:r w:rsidRPr="00D800DD">
        <w:t xml:space="preserve">The percentage of patients on the CKD register </w:t>
      </w:r>
      <w:r>
        <w:t xml:space="preserve">and </w:t>
      </w:r>
      <w:r w:rsidRPr="00D800DD">
        <w:t>with an albumin to creatinine ratio (ACR) of 70</w:t>
      </w:r>
      <w:r>
        <w:t> </w:t>
      </w:r>
      <w:r w:rsidRPr="00D800DD">
        <w:t>mg/mmol or more, without moderate or severe frailty, in whom the last blood pressure reading (measured in the preceding 12 months) is less than 125/75</w:t>
      </w:r>
      <w:r>
        <w:t> </w:t>
      </w:r>
      <w:r w:rsidRPr="00D800DD">
        <w:t>mmHg if using ambulatory or home monitoring, or less than 130/</w:t>
      </w:r>
      <w:r w:rsidRPr="009B18C4">
        <w:t>80</w:t>
      </w:r>
      <w:r>
        <w:t> </w:t>
      </w:r>
      <w:r w:rsidRPr="009B18C4">
        <w:t>mmHg</w:t>
      </w:r>
      <w:r w:rsidRPr="00D800DD">
        <w:t xml:space="preserve"> if monitored in clinic.</w:t>
      </w:r>
    </w:p>
    <w:p w14:paraId="07706F32" w14:textId="77777777" w:rsidR="00D52916" w:rsidRDefault="00D52916" w:rsidP="00D52916">
      <w:pPr>
        <w:pStyle w:val="Heading2"/>
      </w:pPr>
      <w:r>
        <w:t>Indicator type</w:t>
      </w:r>
    </w:p>
    <w:p w14:paraId="7F6674AD" w14:textId="77777777" w:rsidR="00D52916" w:rsidRPr="00D800DD" w:rsidRDefault="00D52916" w:rsidP="00D52916">
      <w:pPr>
        <w:pStyle w:val="Paragraphnonumbers"/>
      </w:pPr>
      <w:r w:rsidRPr="00D800DD">
        <w:t>General practice indicator suitable for use in the QOF</w:t>
      </w:r>
    </w:p>
    <w:p w14:paraId="189714CD" w14:textId="77777777" w:rsidR="00D52916" w:rsidRDefault="00D52916" w:rsidP="00D52916">
      <w:pPr>
        <w:pStyle w:val="Heading2"/>
      </w:pPr>
      <w:r>
        <w:t>Rationale</w:t>
      </w:r>
    </w:p>
    <w:p w14:paraId="7705AB00" w14:textId="77777777" w:rsidR="00D52916" w:rsidRDefault="00D52916" w:rsidP="00D52916">
      <w:pPr>
        <w:pStyle w:val="Paragraphnonumbers"/>
        <w:rPr>
          <w:b/>
          <w:bCs/>
        </w:rPr>
      </w:pPr>
      <w:r w:rsidRPr="00D800DD">
        <w:t>Chronic kidney disease (CKD) is a long-term condition characterised by abnormal function or structure (or both). Optimal blood pressure control can slow progression of CKD and reduce the risk of cardiovascular disease. A focus on people without moderate or severe frailty allows for an individualised management approach that adjusts care according to frailty status</w:t>
      </w:r>
      <w:r>
        <w:rPr>
          <w:b/>
          <w:bCs/>
        </w:rPr>
        <w:t>.</w:t>
      </w:r>
    </w:p>
    <w:p w14:paraId="2F7E177C" w14:textId="77777777" w:rsidR="00D52916" w:rsidRDefault="00D52916" w:rsidP="00D52916">
      <w:pPr>
        <w:pStyle w:val="Heading2"/>
      </w:pPr>
      <w:r>
        <w:t xml:space="preserve">Source guidance  </w:t>
      </w:r>
    </w:p>
    <w:p w14:paraId="1357CCE3" w14:textId="77777777" w:rsidR="00D52916" w:rsidRDefault="002B3262" w:rsidP="00D52916">
      <w:pPr>
        <w:pStyle w:val="Paragraphnonumbers"/>
      </w:pPr>
      <w:hyperlink r:id="rId21" w:history="1">
        <w:r w:rsidR="00D52916" w:rsidRPr="00D800DD">
          <w:rPr>
            <w:rStyle w:val="Hyperlink"/>
          </w:rPr>
          <w:t>NICE’s guideline on chronic kidney disease</w:t>
        </w:r>
      </w:hyperlink>
      <w:r w:rsidR="00D52916">
        <w:t xml:space="preserve"> (2021)</w:t>
      </w:r>
      <w:r w:rsidR="00D52916" w:rsidRPr="00091CAD">
        <w:t xml:space="preserve"> recommendation </w:t>
      </w:r>
      <w:r w:rsidR="00D52916">
        <w:t>1.6.2.</w:t>
      </w:r>
    </w:p>
    <w:p w14:paraId="2A5BD5F7" w14:textId="77777777" w:rsidR="00D52916" w:rsidRDefault="002B3262" w:rsidP="00D52916">
      <w:pPr>
        <w:pStyle w:val="Paragraphnonumbers"/>
        <w:rPr>
          <w:b/>
          <w:bCs/>
        </w:rPr>
      </w:pPr>
      <w:hyperlink r:id="rId22" w:history="1">
        <w:r w:rsidR="00D52916" w:rsidRPr="00D800DD">
          <w:rPr>
            <w:rStyle w:val="Hyperlink"/>
          </w:rPr>
          <w:t>NICE’s guideline on hypertension in adults</w:t>
        </w:r>
      </w:hyperlink>
      <w:r w:rsidR="00D52916">
        <w:t xml:space="preserve"> (2019, last updated 2022) recommendations 1.4.10, 1.4.18, 1.4.20 and 1.4.22.</w:t>
      </w:r>
      <w:r w:rsidR="00D52916" w:rsidRPr="00091CAD">
        <w:t xml:space="preserve"> </w:t>
      </w:r>
    </w:p>
    <w:p w14:paraId="202C32BC" w14:textId="77777777" w:rsidR="00D52916" w:rsidRDefault="00D52916" w:rsidP="00D52916">
      <w:pPr>
        <w:pStyle w:val="Heading2"/>
      </w:pPr>
      <w:r>
        <w:lastRenderedPageBreak/>
        <w:t>Specification</w:t>
      </w:r>
    </w:p>
    <w:p w14:paraId="5AA30D25" w14:textId="77777777" w:rsidR="00D52916" w:rsidRDefault="00D52916" w:rsidP="00D52916">
      <w:pPr>
        <w:pStyle w:val="Paragraphnonumbers"/>
      </w:pPr>
      <w:r>
        <w:t xml:space="preserve">Numerator: </w:t>
      </w:r>
      <w:r w:rsidRPr="00D800DD">
        <w:t>The number of patients in the denominator in whom the last blood pressure reading (measured in the preceding 12 months) is less tha</w:t>
      </w:r>
      <w:r>
        <w:t xml:space="preserve">n </w:t>
      </w:r>
      <w:r w:rsidRPr="00D800DD">
        <w:t>125/75</w:t>
      </w:r>
      <w:r>
        <w:t> </w:t>
      </w:r>
      <w:r w:rsidRPr="00D800DD">
        <w:t>mmHg if using ambulatory or home monitoring, or less than</w:t>
      </w:r>
      <w:r>
        <w:t xml:space="preserve"> </w:t>
      </w:r>
      <w:r w:rsidRPr="00D800DD">
        <w:t>130/80</w:t>
      </w:r>
      <w:r>
        <w:t> </w:t>
      </w:r>
      <w:r w:rsidRPr="00D800DD">
        <w:t>mmHg if monitored in clinic.</w:t>
      </w:r>
    </w:p>
    <w:p w14:paraId="3C3C1CC8" w14:textId="77777777" w:rsidR="00D52916" w:rsidRDefault="00D52916" w:rsidP="00D52916">
      <w:pPr>
        <w:pStyle w:val="Paragraphnonumbers"/>
      </w:pPr>
      <w:r>
        <w:t xml:space="preserve">Denominator: </w:t>
      </w:r>
      <w:r w:rsidRPr="00D800DD">
        <w:t>The number of patients on the CKD register and with an ACR of 70</w:t>
      </w:r>
      <w:r>
        <w:t> </w:t>
      </w:r>
      <w:r w:rsidRPr="00D800DD">
        <w:t>mg/mmol or more, without moderate or severe frailty.</w:t>
      </w:r>
    </w:p>
    <w:p w14:paraId="6929046A" w14:textId="77777777" w:rsidR="00D52916" w:rsidRDefault="00D52916" w:rsidP="00D52916">
      <w:pPr>
        <w:pStyle w:val="Paragraphnonumbers"/>
      </w:pPr>
      <w:r>
        <w:t xml:space="preserve">Definitions: </w:t>
      </w:r>
    </w:p>
    <w:p w14:paraId="659B3597" w14:textId="77777777" w:rsidR="00D52916" w:rsidRDefault="00D52916" w:rsidP="00D52916">
      <w:pPr>
        <w:pStyle w:val="Bullets"/>
      </w:pPr>
      <w:r>
        <w:t>The CKD register includes patients aged 18 and over with CKD stages G3a to G5.</w:t>
      </w:r>
    </w:p>
    <w:p w14:paraId="0E63CEF4" w14:textId="77777777" w:rsidR="00D52916" w:rsidRPr="00867CDA" w:rsidRDefault="00D52916" w:rsidP="00D52916">
      <w:pPr>
        <w:pStyle w:val="Bullets"/>
      </w:pPr>
      <w:r>
        <w:t xml:space="preserve">The last recorded reading of ACR should be used for inclusion in the denominator. </w:t>
      </w:r>
    </w:p>
    <w:p w14:paraId="64157A30" w14:textId="5541BDD0" w:rsidR="00D52916" w:rsidRDefault="00D52916" w:rsidP="00E22C4D">
      <w:pPr>
        <w:pStyle w:val="Paragraphnonumbers"/>
      </w:pPr>
      <w:r w:rsidRPr="00606C2B">
        <w:t xml:space="preserve">Personalised care adjustments or exception reporting should be considered to account for situations where the patient declines, </w:t>
      </w:r>
      <w:r w:rsidRPr="00705678">
        <w:t>does not respond to invite</w:t>
      </w:r>
      <w:r w:rsidRPr="00705678" w:rsidDel="00705678">
        <w:t xml:space="preserve"> </w:t>
      </w:r>
      <w:r>
        <w:t>or if the blood pressure target is inappropriate.</w:t>
      </w:r>
    </w:p>
    <w:tbl>
      <w:tblPr>
        <w:tblStyle w:val="TableGrid"/>
        <w:tblW w:w="5000" w:type="pct"/>
        <w:tblLook w:val="04A0" w:firstRow="1" w:lastRow="0" w:firstColumn="1" w:lastColumn="0" w:noHBand="0" w:noVBand="1"/>
      </w:tblPr>
      <w:tblGrid>
        <w:gridCol w:w="1891"/>
        <w:gridCol w:w="5233"/>
        <w:gridCol w:w="7050"/>
      </w:tblGrid>
      <w:tr w:rsidR="00E22C4D" w14:paraId="0C0B9EF7" w14:textId="77777777" w:rsidTr="00762F55">
        <w:tc>
          <w:tcPr>
            <w:tcW w:w="5000" w:type="pct"/>
            <w:gridSpan w:val="3"/>
          </w:tcPr>
          <w:p w14:paraId="27914B89" w14:textId="78D50154" w:rsidR="00E22C4D" w:rsidRPr="00E22C4D" w:rsidRDefault="00E22C4D" w:rsidP="00762F55">
            <w:pPr>
              <w:pStyle w:val="Heading1"/>
              <w:outlineLvl w:val="0"/>
              <w:rPr>
                <w:b w:val="0"/>
                <w:bCs w:val="0"/>
              </w:rPr>
            </w:pPr>
            <w:r>
              <w:rPr>
                <w:b w:val="0"/>
                <w:bCs w:val="0"/>
              </w:rPr>
              <w:t>Feedback – Chronic Kidney Disease:</w:t>
            </w:r>
            <w:r w:rsidRPr="00E22C4D">
              <w:rPr>
                <w:b w:val="0"/>
                <w:bCs w:val="0"/>
              </w:rPr>
              <w:t xml:space="preserve"> ARBs and ACE inhibitors</w:t>
            </w:r>
          </w:p>
        </w:tc>
      </w:tr>
      <w:tr w:rsidR="00E22C4D" w14:paraId="1B50757D" w14:textId="77777777" w:rsidTr="00762F55">
        <w:tc>
          <w:tcPr>
            <w:tcW w:w="667" w:type="pct"/>
          </w:tcPr>
          <w:p w14:paraId="34DE1531" w14:textId="77777777" w:rsidR="00E22C4D" w:rsidRPr="00D52916" w:rsidRDefault="00E22C4D" w:rsidP="00762F55">
            <w:pPr>
              <w:pStyle w:val="Numberedlist"/>
              <w:numPr>
                <w:ilvl w:val="0"/>
                <w:numId w:val="0"/>
              </w:numPr>
              <w:rPr>
                <w:rFonts w:asciiTheme="minorHAnsi" w:hAnsiTheme="minorHAnsi" w:cstheme="minorHAnsi"/>
              </w:rPr>
            </w:pPr>
            <w:r w:rsidRPr="00D52916">
              <w:rPr>
                <w:rFonts w:asciiTheme="minorHAnsi" w:hAnsiTheme="minorHAnsi" w:cstheme="minorHAnsi"/>
              </w:rPr>
              <w:t>1</w:t>
            </w:r>
          </w:p>
        </w:tc>
        <w:tc>
          <w:tcPr>
            <w:tcW w:w="1846" w:type="pct"/>
          </w:tcPr>
          <w:p w14:paraId="0FE65A30" w14:textId="3E6D3579" w:rsidR="00E22C4D" w:rsidRPr="00D52916" w:rsidRDefault="00E22C4D" w:rsidP="00762F55">
            <w:pPr>
              <w:rPr>
                <w:rFonts w:asciiTheme="minorHAnsi" w:hAnsiTheme="minorHAnsi" w:cstheme="minorHAnsi"/>
              </w:rPr>
            </w:pPr>
            <w:r w:rsidRPr="00D52916">
              <w:rPr>
                <w:rFonts w:asciiTheme="minorHAnsi" w:hAnsiTheme="minorHAnsi" w:cstheme="minorHAnsi"/>
              </w:rPr>
              <w:t>Do you think there are any barriers to implementing the care described by th</w:t>
            </w:r>
            <w:r>
              <w:rPr>
                <w:rFonts w:asciiTheme="minorHAnsi" w:hAnsiTheme="minorHAnsi" w:cstheme="minorHAnsi"/>
              </w:rPr>
              <w:t xml:space="preserve">ese </w:t>
            </w:r>
            <w:r w:rsidRPr="00D52916">
              <w:rPr>
                <w:rFonts w:asciiTheme="minorHAnsi" w:hAnsiTheme="minorHAnsi" w:cstheme="minorHAnsi"/>
              </w:rPr>
              <w:t>indicator</w:t>
            </w:r>
            <w:r>
              <w:rPr>
                <w:rFonts w:asciiTheme="minorHAnsi" w:hAnsiTheme="minorHAnsi" w:cstheme="minorHAnsi"/>
              </w:rPr>
              <w:t>s</w:t>
            </w:r>
            <w:r w:rsidRPr="00D52916">
              <w:rPr>
                <w:rFonts w:asciiTheme="minorHAnsi" w:hAnsiTheme="minorHAnsi" w:cstheme="minorHAnsi"/>
              </w:rPr>
              <w:t>?</w:t>
            </w:r>
          </w:p>
        </w:tc>
        <w:tc>
          <w:tcPr>
            <w:tcW w:w="2487" w:type="pct"/>
          </w:tcPr>
          <w:p w14:paraId="131EAFF1" w14:textId="77777777" w:rsidR="00E22C4D" w:rsidRDefault="00E22C4D" w:rsidP="00762F55"/>
        </w:tc>
      </w:tr>
      <w:tr w:rsidR="00E22C4D" w14:paraId="359F6C9E" w14:textId="77777777" w:rsidTr="00762F55">
        <w:tc>
          <w:tcPr>
            <w:tcW w:w="667" w:type="pct"/>
          </w:tcPr>
          <w:p w14:paraId="78B7F414" w14:textId="77777777" w:rsidR="00E22C4D" w:rsidRPr="00D52916" w:rsidRDefault="00E22C4D" w:rsidP="00762F55">
            <w:pPr>
              <w:pStyle w:val="Numberedlist"/>
              <w:numPr>
                <w:ilvl w:val="0"/>
                <w:numId w:val="0"/>
              </w:numPr>
              <w:rPr>
                <w:rFonts w:asciiTheme="minorHAnsi" w:hAnsiTheme="minorHAnsi" w:cstheme="minorHAnsi"/>
              </w:rPr>
            </w:pPr>
            <w:r w:rsidRPr="00D52916">
              <w:rPr>
                <w:rFonts w:asciiTheme="minorHAnsi" w:hAnsiTheme="minorHAnsi" w:cstheme="minorHAnsi"/>
              </w:rPr>
              <w:t>2</w:t>
            </w:r>
          </w:p>
        </w:tc>
        <w:tc>
          <w:tcPr>
            <w:tcW w:w="1846" w:type="pct"/>
          </w:tcPr>
          <w:p w14:paraId="731EA721" w14:textId="465DB2F6" w:rsidR="00E22C4D" w:rsidRPr="00D52916" w:rsidRDefault="00E22C4D" w:rsidP="00762F55">
            <w:pPr>
              <w:rPr>
                <w:rFonts w:asciiTheme="minorHAnsi" w:hAnsiTheme="minorHAnsi" w:cstheme="minorHAnsi"/>
              </w:rPr>
            </w:pPr>
            <w:r w:rsidRPr="00D52916">
              <w:rPr>
                <w:rFonts w:asciiTheme="minorHAnsi" w:hAnsiTheme="minorHAnsi" w:cstheme="minorHAnsi"/>
              </w:rPr>
              <w:t xml:space="preserve">Do you think there are potential unintended consequences to implementing/ using </w:t>
            </w:r>
            <w:r>
              <w:rPr>
                <w:rFonts w:asciiTheme="minorHAnsi" w:hAnsiTheme="minorHAnsi" w:cstheme="minorHAnsi"/>
              </w:rPr>
              <w:t>these</w:t>
            </w:r>
            <w:r w:rsidRPr="00D52916">
              <w:rPr>
                <w:rFonts w:asciiTheme="minorHAnsi" w:hAnsiTheme="minorHAnsi" w:cstheme="minorHAnsi"/>
              </w:rPr>
              <w:t xml:space="preserve"> indicator</w:t>
            </w:r>
            <w:r>
              <w:rPr>
                <w:rFonts w:asciiTheme="minorHAnsi" w:hAnsiTheme="minorHAnsi" w:cstheme="minorHAnsi"/>
              </w:rPr>
              <w:t>s</w:t>
            </w:r>
            <w:r w:rsidRPr="00D52916">
              <w:rPr>
                <w:rFonts w:asciiTheme="minorHAnsi" w:hAnsiTheme="minorHAnsi" w:cstheme="minorHAnsi"/>
              </w:rPr>
              <w:t>?</w:t>
            </w:r>
          </w:p>
        </w:tc>
        <w:tc>
          <w:tcPr>
            <w:tcW w:w="2487" w:type="pct"/>
          </w:tcPr>
          <w:p w14:paraId="79FE8E20" w14:textId="77777777" w:rsidR="00E22C4D" w:rsidRDefault="00E22C4D" w:rsidP="00762F55"/>
        </w:tc>
      </w:tr>
      <w:tr w:rsidR="00E22C4D" w14:paraId="1FFFB02B" w14:textId="77777777" w:rsidTr="00762F55">
        <w:tc>
          <w:tcPr>
            <w:tcW w:w="667" w:type="pct"/>
          </w:tcPr>
          <w:p w14:paraId="4016C124" w14:textId="77777777" w:rsidR="00E22C4D" w:rsidRPr="00D52916" w:rsidRDefault="00E22C4D" w:rsidP="00762F55">
            <w:pPr>
              <w:pStyle w:val="Numberedlist"/>
              <w:numPr>
                <w:ilvl w:val="0"/>
                <w:numId w:val="0"/>
              </w:numPr>
              <w:rPr>
                <w:rFonts w:asciiTheme="minorHAnsi" w:hAnsiTheme="minorHAnsi" w:cstheme="minorHAnsi"/>
              </w:rPr>
            </w:pPr>
            <w:r w:rsidRPr="00D52916">
              <w:rPr>
                <w:rFonts w:asciiTheme="minorHAnsi" w:hAnsiTheme="minorHAnsi" w:cstheme="minorHAnsi"/>
              </w:rPr>
              <w:t>3</w:t>
            </w:r>
          </w:p>
        </w:tc>
        <w:tc>
          <w:tcPr>
            <w:tcW w:w="1846" w:type="pct"/>
          </w:tcPr>
          <w:p w14:paraId="41A74BD4" w14:textId="1A77F7AF" w:rsidR="00E22C4D" w:rsidRPr="00D52916" w:rsidRDefault="00E22C4D" w:rsidP="00762F55">
            <w:pPr>
              <w:rPr>
                <w:rFonts w:asciiTheme="minorHAnsi" w:hAnsiTheme="minorHAnsi" w:cstheme="minorHAnsi"/>
              </w:rPr>
            </w:pPr>
            <w:r w:rsidRPr="00D52916">
              <w:rPr>
                <w:rFonts w:asciiTheme="minorHAnsi" w:hAnsiTheme="minorHAnsi" w:cstheme="minorHAnsi"/>
              </w:rPr>
              <w:t xml:space="preserve">Do you think there is potential for differential impact (in respect of age, disability, gender and gender reassignment, pregnancy and maternity, race, religion or belief, and sexual orientation)? If so, please state whether this is adverse or positive </w:t>
            </w:r>
            <w:r w:rsidRPr="00D52916">
              <w:rPr>
                <w:rFonts w:asciiTheme="minorHAnsi" w:hAnsiTheme="minorHAnsi" w:cstheme="minorHAnsi"/>
              </w:rPr>
              <w:lastRenderedPageBreak/>
              <w:t>and for which group.</w:t>
            </w:r>
          </w:p>
        </w:tc>
        <w:tc>
          <w:tcPr>
            <w:tcW w:w="2487" w:type="pct"/>
          </w:tcPr>
          <w:p w14:paraId="4A14EE1D" w14:textId="77777777" w:rsidR="00E22C4D" w:rsidRDefault="00E22C4D" w:rsidP="00762F55"/>
        </w:tc>
      </w:tr>
      <w:tr w:rsidR="00E22C4D" w14:paraId="777C8F9C" w14:textId="77777777" w:rsidTr="00762F55">
        <w:tc>
          <w:tcPr>
            <w:tcW w:w="667" w:type="pct"/>
          </w:tcPr>
          <w:p w14:paraId="2F162F19" w14:textId="77777777" w:rsidR="00E22C4D" w:rsidRPr="00D52916" w:rsidRDefault="00E22C4D" w:rsidP="00762F55">
            <w:pPr>
              <w:pStyle w:val="Numberedlist"/>
              <w:numPr>
                <w:ilvl w:val="0"/>
                <w:numId w:val="0"/>
              </w:numPr>
              <w:rPr>
                <w:rFonts w:asciiTheme="minorHAnsi" w:hAnsiTheme="minorHAnsi" w:cstheme="minorHAnsi"/>
              </w:rPr>
            </w:pPr>
            <w:r w:rsidRPr="00D52916">
              <w:rPr>
                <w:rFonts w:asciiTheme="minorHAnsi" w:hAnsiTheme="minorHAnsi" w:cstheme="minorHAnsi"/>
              </w:rPr>
              <w:lastRenderedPageBreak/>
              <w:t>4</w:t>
            </w:r>
          </w:p>
        </w:tc>
        <w:tc>
          <w:tcPr>
            <w:tcW w:w="1846" w:type="pct"/>
          </w:tcPr>
          <w:p w14:paraId="4FD71A90" w14:textId="2F933D73" w:rsidR="00E22C4D" w:rsidRPr="00D52916" w:rsidRDefault="00E22C4D" w:rsidP="00762F55">
            <w:pPr>
              <w:rPr>
                <w:rFonts w:asciiTheme="minorHAnsi" w:hAnsiTheme="minorHAnsi" w:cstheme="minorHAnsi"/>
              </w:rPr>
            </w:pPr>
            <w:r w:rsidRPr="00D52916">
              <w:rPr>
                <w:rFonts w:asciiTheme="minorHAnsi" w:hAnsiTheme="minorHAnsi" w:cstheme="minorHAnsi"/>
              </w:rPr>
              <w:t>If you think th</w:t>
            </w:r>
            <w:r w:rsidR="00D72624">
              <w:rPr>
                <w:rFonts w:asciiTheme="minorHAnsi" w:hAnsiTheme="minorHAnsi" w:cstheme="minorHAnsi"/>
              </w:rPr>
              <w:t>e</w:t>
            </w:r>
            <w:r w:rsidRPr="00D52916">
              <w:rPr>
                <w:rFonts w:asciiTheme="minorHAnsi" w:hAnsiTheme="minorHAnsi" w:cstheme="minorHAnsi"/>
              </w:rPr>
              <w:t>s</w:t>
            </w:r>
            <w:r w:rsidR="00D72624">
              <w:rPr>
                <w:rFonts w:asciiTheme="minorHAnsi" w:hAnsiTheme="minorHAnsi" w:cstheme="minorHAnsi"/>
              </w:rPr>
              <w:t>e</w:t>
            </w:r>
            <w:r w:rsidRPr="00D52916">
              <w:rPr>
                <w:rFonts w:asciiTheme="minorHAnsi" w:hAnsiTheme="minorHAnsi" w:cstheme="minorHAnsi"/>
              </w:rPr>
              <w:t xml:space="preserve"> indicator</w:t>
            </w:r>
            <w:r w:rsidR="00D72624">
              <w:rPr>
                <w:rFonts w:asciiTheme="minorHAnsi" w:hAnsiTheme="minorHAnsi" w:cstheme="minorHAnsi"/>
              </w:rPr>
              <w:t>s</w:t>
            </w:r>
            <w:r w:rsidRPr="00D52916">
              <w:rPr>
                <w:rFonts w:asciiTheme="minorHAnsi" w:hAnsiTheme="minorHAnsi" w:cstheme="minorHAnsi"/>
              </w:rPr>
              <w:t xml:space="preserve"> may have an adverse impact in different groups in the community, can you suggest how it might be delivered differently to different groups to reduce health inequalities?</w:t>
            </w:r>
          </w:p>
        </w:tc>
        <w:tc>
          <w:tcPr>
            <w:tcW w:w="2487" w:type="pct"/>
          </w:tcPr>
          <w:p w14:paraId="0A22E374" w14:textId="77777777" w:rsidR="00E22C4D" w:rsidRDefault="00E22C4D" w:rsidP="00762F55"/>
        </w:tc>
      </w:tr>
      <w:tr w:rsidR="00E22C4D" w14:paraId="34EFC031" w14:textId="77777777" w:rsidTr="00762F55">
        <w:tc>
          <w:tcPr>
            <w:tcW w:w="667" w:type="pct"/>
          </w:tcPr>
          <w:p w14:paraId="0E76A530" w14:textId="6CACE473" w:rsidR="00E22C4D" w:rsidRPr="00D52916" w:rsidRDefault="00E22C4D" w:rsidP="00762F55">
            <w:pPr>
              <w:pStyle w:val="Numberedlist"/>
              <w:numPr>
                <w:ilvl w:val="0"/>
                <w:numId w:val="0"/>
              </w:numPr>
              <w:rPr>
                <w:rFonts w:asciiTheme="minorHAnsi" w:hAnsiTheme="minorHAnsi" w:cstheme="minorHAnsi"/>
              </w:rPr>
            </w:pPr>
            <w:r>
              <w:rPr>
                <w:rFonts w:asciiTheme="minorHAnsi" w:hAnsiTheme="minorHAnsi" w:cstheme="minorHAnsi"/>
              </w:rPr>
              <w:t>5</w:t>
            </w:r>
          </w:p>
        </w:tc>
        <w:tc>
          <w:tcPr>
            <w:tcW w:w="1846" w:type="pct"/>
          </w:tcPr>
          <w:p w14:paraId="78ABD430" w14:textId="246E2958" w:rsidR="00E22C4D" w:rsidRPr="00D52916" w:rsidRDefault="00E22C4D" w:rsidP="00762F55">
            <w:pPr>
              <w:rPr>
                <w:rFonts w:asciiTheme="minorHAnsi" w:hAnsiTheme="minorHAnsi" w:cstheme="minorHAnsi"/>
              </w:rPr>
            </w:pPr>
            <w:r w:rsidRPr="00E22C4D">
              <w:rPr>
                <w:rFonts w:asciiTheme="minorHAnsi" w:hAnsiTheme="minorHAnsi" w:cstheme="minorHAnsi"/>
              </w:rPr>
              <w:t>Is it achievable and acceptable to use tighter targets for ambulatory or home monitoring of blood pressure in this population?</w:t>
            </w:r>
          </w:p>
        </w:tc>
        <w:tc>
          <w:tcPr>
            <w:tcW w:w="2487" w:type="pct"/>
          </w:tcPr>
          <w:p w14:paraId="72F826A7" w14:textId="77777777" w:rsidR="00E22C4D" w:rsidRDefault="00E22C4D" w:rsidP="00762F55"/>
        </w:tc>
      </w:tr>
      <w:tr w:rsidR="00E22C4D" w14:paraId="4BA3B28A" w14:textId="77777777" w:rsidTr="00762F55">
        <w:tc>
          <w:tcPr>
            <w:tcW w:w="667" w:type="pct"/>
          </w:tcPr>
          <w:p w14:paraId="009E55E7" w14:textId="77777777" w:rsidR="00E22C4D" w:rsidRPr="00D52916" w:rsidRDefault="00E22C4D" w:rsidP="00762F55">
            <w:pPr>
              <w:rPr>
                <w:rFonts w:asciiTheme="minorHAnsi" w:hAnsiTheme="minorHAnsi" w:cstheme="minorHAnsi"/>
              </w:rPr>
            </w:pPr>
            <w:r w:rsidRPr="00D52916">
              <w:rPr>
                <w:rFonts w:asciiTheme="minorHAnsi" w:hAnsiTheme="minorHAnsi" w:cstheme="minorHAnsi"/>
              </w:rPr>
              <w:t>Other comments</w:t>
            </w:r>
          </w:p>
        </w:tc>
        <w:tc>
          <w:tcPr>
            <w:tcW w:w="4333" w:type="pct"/>
            <w:gridSpan w:val="2"/>
          </w:tcPr>
          <w:p w14:paraId="555226B4" w14:textId="77777777" w:rsidR="00E22C4D" w:rsidRDefault="00E22C4D" w:rsidP="00762F55"/>
        </w:tc>
      </w:tr>
    </w:tbl>
    <w:p w14:paraId="46C88E85" w14:textId="77777777" w:rsidR="00566AEC" w:rsidRDefault="00566AEC"/>
    <w:sectPr w:rsidR="00566AEC" w:rsidSect="00E22C4D">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04D57" w14:textId="77777777" w:rsidR="002B3262" w:rsidRDefault="002B3262" w:rsidP="00D72624">
      <w:r>
        <w:separator/>
      </w:r>
    </w:p>
  </w:endnote>
  <w:endnote w:type="continuationSeparator" w:id="0">
    <w:p w14:paraId="07B620BE" w14:textId="77777777" w:rsidR="002B3262" w:rsidRDefault="002B3262" w:rsidP="00D7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2E371" w14:textId="77777777" w:rsidR="002B3262" w:rsidRDefault="002B3262" w:rsidP="00D72624">
      <w:r>
        <w:separator/>
      </w:r>
    </w:p>
  </w:footnote>
  <w:footnote w:type="continuationSeparator" w:id="0">
    <w:p w14:paraId="368143F9" w14:textId="77777777" w:rsidR="002B3262" w:rsidRDefault="002B3262" w:rsidP="00D72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BA6"/>
    <w:multiLevelType w:val="hybridMultilevel"/>
    <w:tmpl w:val="964A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abstractNumId w:val="1"/>
  </w:num>
  <w:num w:numId="2">
    <w:abstractNumId w:val="2"/>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16"/>
    <w:rsid w:val="002B3262"/>
    <w:rsid w:val="00566AEC"/>
    <w:rsid w:val="006C3327"/>
    <w:rsid w:val="00D52916"/>
    <w:rsid w:val="00D72624"/>
    <w:rsid w:val="00E22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1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uiPriority w:val="1"/>
    <w:qFormat/>
    <w:rsid w:val="00D52916"/>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uiPriority w:val="2"/>
    <w:qFormat/>
    <w:rsid w:val="00D52916"/>
    <w:pPr>
      <w:keepNext/>
      <w:spacing w:before="240" w:after="60" w:line="360" w:lineRule="auto"/>
      <w:outlineLvl w:val="1"/>
    </w:pPr>
    <w:rPr>
      <w:rFonts w:ascii="Arial" w:hAnsi="Arial" w:cs="Arial"/>
      <w:b/>
      <w:bCs/>
      <w:color w:val="22809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291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2"/>
    <w:rsid w:val="00D52916"/>
    <w:rPr>
      <w:rFonts w:ascii="Arial" w:eastAsia="Times New Roman" w:hAnsi="Arial" w:cs="Arial"/>
      <w:b/>
      <w:bCs/>
      <w:color w:val="228096"/>
      <w:sz w:val="28"/>
      <w:szCs w:val="28"/>
    </w:rPr>
  </w:style>
  <w:style w:type="paragraph" w:styleId="Title">
    <w:name w:val="Title"/>
    <w:basedOn w:val="Normal"/>
    <w:next w:val="Heading1"/>
    <w:link w:val="TitleChar"/>
    <w:qFormat/>
    <w:rsid w:val="00D52916"/>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D52916"/>
    <w:rPr>
      <w:rFonts w:ascii="Arial" w:eastAsia="Times New Roman" w:hAnsi="Arial" w:cs="Times New Roman"/>
      <w:b/>
      <w:bCs/>
      <w:kern w:val="28"/>
      <w:sz w:val="40"/>
      <w:szCs w:val="32"/>
      <w:lang w:eastAsia="en-GB"/>
    </w:rPr>
  </w:style>
  <w:style w:type="paragraph" w:customStyle="1" w:styleId="Bullets">
    <w:name w:val="Bullets"/>
    <w:basedOn w:val="Normal"/>
    <w:uiPriority w:val="5"/>
    <w:qFormat/>
    <w:rsid w:val="00D52916"/>
    <w:pPr>
      <w:numPr>
        <w:numId w:val="1"/>
      </w:numPr>
      <w:tabs>
        <w:tab w:val="left" w:pos="993"/>
      </w:tabs>
      <w:spacing w:line="360" w:lineRule="auto"/>
      <w:ind w:left="993" w:hanging="426"/>
    </w:pPr>
    <w:rPr>
      <w:rFonts w:ascii="Arial" w:hAnsi="Arial"/>
      <w:lang w:eastAsia="en-US"/>
    </w:rPr>
  </w:style>
  <w:style w:type="paragraph" w:customStyle="1" w:styleId="Paragraph">
    <w:name w:val="Paragraph"/>
    <w:basedOn w:val="Normal"/>
    <w:uiPriority w:val="4"/>
    <w:qFormat/>
    <w:rsid w:val="00D52916"/>
    <w:pPr>
      <w:spacing w:after="240" w:line="360" w:lineRule="auto"/>
    </w:pPr>
    <w:rPr>
      <w:rFonts w:ascii="Arial" w:hAnsi="Arial"/>
      <w:lang w:eastAsia="en-US"/>
    </w:rPr>
  </w:style>
  <w:style w:type="paragraph" w:styleId="TOC1">
    <w:name w:val="toc 1"/>
    <w:basedOn w:val="Normal"/>
    <w:next w:val="Normal"/>
    <w:autoRedefine/>
    <w:uiPriority w:val="39"/>
    <w:rsid w:val="00D52916"/>
    <w:pPr>
      <w:tabs>
        <w:tab w:val="right" w:leader="dot" w:pos="8296"/>
      </w:tabs>
      <w:spacing w:line="360" w:lineRule="auto"/>
    </w:pPr>
    <w:rPr>
      <w:rFonts w:ascii="Arial" w:hAnsi="Arial"/>
    </w:rPr>
  </w:style>
  <w:style w:type="character" w:styleId="Hyperlink">
    <w:name w:val="Hyperlink"/>
    <w:basedOn w:val="DefaultParagraphFont"/>
    <w:uiPriority w:val="99"/>
    <w:unhideWhenUsed/>
    <w:rsid w:val="00D52916"/>
    <w:rPr>
      <w:color w:val="0563C1" w:themeColor="hyperlink"/>
      <w:u w:val="single"/>
    </w:rPr>
  </w:style>
  <w:style w:type="paragraph" w:customStyle="1" w:styleId="Numberedlist">
    <w:name w:val="Numbered list"/>
    <w:basedOn w:val="Bullets"/>
    <w:qFormat/>
    <w:rsid w:val="00D52916"/>
    <w:pPr>
      <w:numPr>
        <w:numId w:val="2"/>
      </w:numPr>
      <w:ind w:left="993" w:hanging="426"/>
    </w:pPr>
  </w:style>
  <w:style w:type="paragraph" w:customStyle="1" w:styleId="Paragraphnonumbers">
    <w:name w:val="Paragraph no numbers"/>
    <w:basedOn w:val="Normal"/>
    <w:uiPriority w:val="99"/>
    <w:qFormat/>
    <w:rsid w:val="00D52916"/>
    <w:pPr>
      <w:spacing w:after="240" w:line="276" w:lineRule="auto"/>
    </w:pPr>
    <w:rPr>
      <w:rFonts w:ascii="Arial" w:hAnsi="Arial"/>
    </w:rPr>
  </w:style>
  <w:style w:type="paragraph" w:customStyle="1" w:styleId="NICEnormal">
    <w:name w:val="NICE normal"/>
    <w:link w:val="NICEnormalChar"/>
    <w:qFormat/>
    <w:rsid w:val="00D52916"/>
    <w:pPr>
      <w:spacing w:after="240" w:line="360" w:lineRule="auto"/>
    </w:pPr>
    <w:rPr>
      <w:rFonts w:ascii="Arial" w:eastAsia="Times New Roman" w:hAnsi="Arial" w:cs="Times New Roman"/>
      <w:sz w:val="24"/>
      <w:szCs w:val="24"/>
      <w:lang w:val="en-US"/>
    </w:rPr>
  </w:style>
  <w:style w:type="character" w:customStyle="1" w:styleId="NICEnormalChar">
    <w:name w:val="NICE normal Char"/>
    <w:link w:val="NICEnormal"/>
    <w:rsid w:val="00D52916"/>
    <w:rPr>
      <w:rFonts w:ascii="Arial" w:eastAsia="Times New Roman" w:hAnsi="Arial" w:cs="Times New Roman"/>
      <w:sz w:val="24"/>
      <w:szCs w:val="24"/>
      <w:lang w:val="en-US"/>
    </w:rPr>
  </w:style>
  <w:style w:type="table" w:styleId="TableGrid">
    <w:name w:val="Table Grid"/>
    <w:basedOn w:val="TableNormal"/>
    <w:uiPriority w:val="39"/>
    <w:rsid w:val="00D5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624"/>
    <w:pPr>
      <w:tabs>
        <w:tab w:val="center" w:pos="4513"/>
        <w:tab w:val="right" w:pos="9026"/>
      </w:tabs>
    </w:pPr>
  </w:style>
  <w:style w:type="character" w:customStyle="1" w:styleId="HeaderChar">
    <w:name w:val="Header Char"/>
    <w:basedOn w:val="DefaultParagraphFont"/>
    <w:link w:val="Header"/>
    <w:uiPriority w:val="99"/>
    <w:rsid w:val="00D7262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72624"/>
    <w:pPr>
      <w:tabs>
        <w:tab w:val="center" w:pos="4513"/>
        <w:tab w:val="right" w:pos="9026"/>
      </w:tabs>
    </w:pPr>
  </w:style>
  <w:style w:type="character" w:customStyle="1" w:styleId="FooterChar">
    <w:name w:val="Footer Char"/>
    <w:basedOn w:val="DefaultParagraphFont"/>
    <w:link w:val="Footer"/>
    <w:uiPriority w:val="99"/>
    <w:rsid w:val="00D7262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1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uiPriority w:val="1"/>
    <w:qFormat/>
    <w:rsid w:val="00D52916"/>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uiPriority w:val="2"/>
    <w:qFormat/>
    <w:rsid w:val="00D52916"/>
    <w:pPr>
      <w:keepNext/>
      <w:spacing w:before="240" w:after="60" w:line="360" w:lineRule="auto"/>
      <w:outlineLvl w:val="1"/>
    </w:pPr>
    <w:rPr>
      <w:rFonts w:ascii="Arial" w:hAnsi="Arial" w:cs="Arial"/>
      <w:b/>
      <w:bCs/>
      <w:color w:val="22809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291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2"/>
    <w:rsid w:val="00D52916"/>
    <w:rPr>
      <w:rFonts w:ascii="Arial" w:eastAsia="Times New Roman" w:hAnsi="Arial" w:cs="Arial"/>
      <w:b/>
      <w:bCs/>
      <w:color w:val="228096"/>
      <w:sz w:val="28"/>
      <w:szCs w:val="28"/>
    </w:rPr>
  </w:style>
  <w:style w:type="paragraph" w:styleId="Title">
    <w:name w:val="Title"/>
    <w:basedOn w:val="Normal"/>
    <w:next w:val="Heading1"/>
    <w:link w:val="TitleChar"/>
    <w:qFormat/>
    <w:rsid w:val="00D52916"/>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D52916"/>
    <w:rPr>
      <w:rFonts w:ascii="Arial" w:eastAsia="Times New Roman" w:hAnsi="Arial" w:cs="Times New Roman"/>
      <w:b/>
      <w:bCs/>
      <w:kern w:val="28"/>
      <w:sz w:val="40"/>
      <w:szCs w:val="32"/>
      <w:lang w:eastAsia="en-GB"/>
    </w:rPr>
  </w:style>
  <w:style w:type="paragraph" w:customStyle="1" w:styleId="Bullets">
    <w:name w:val="Bullets"/>
    <w:basedOn w:val="Normal"/>
    <w:uiPriority w:val="5"/>
    <w:qFormat/>
    <w:rsid w:val="00D52916"/>
    <w:pPr>
      <w:numPr>
        <w:numId w:val="1"/>
      </w:numPr>
      <w:tabs>
        <w:tab w:val="left" w:pos="993"/>
      </w:tabs>
      <w:spacing w:line="360" w:lineRule="auto"/>
      <w:ind w:left="993" w:hanging="426"/>
    </w:pPr>
    <w:rPr>
      <w:rFonts w:ascii="Arial" w:hAnsi="Arial"/>
      <w:lang w:eastAsia="en-US"/>
    </w:rPr>
  </w:style>
  <w:style w:type="paragraph" w:customStyle="1" w:styleId="Paragraph">
    <w:name w:val="Paragraph"/>
    <w:basedOn w:val="Normal"/>
    <w:uiPriority w:val="4"/>
    <w:qFormat/>
    <w:rsid w:val="00D52916"/>
    <w:pPr>
      <w:spacing w:after="240" w:line="360" w:lineRule="auto"/>
    </w:pPr>
    <w:rPr>
      <w:rFonts w:ascii="Arial" w:hAnsi="Arial"/>
      <w:lang w:eastAsia="en-US"/>
    </w:rPr>
  </w:style>
  <w:style w:type="paragraph" w:styleId="TOC1">
    <w:name w:val="toc 1"/>
    <w:basedOn w:val="Normal"/>
    <w:next w:val="Normal"/>
    <w:autoRedefine/>
    <w:uiPriority w:val="39"/>
    <w:rsid w:val="00D52916"/>
    <w:pPr>
      <w:tabs>
        <w:tab w:val="right" w:leader="dot" w:pos="8296"/>
      </w:tabs>
      <w:spacing w:line="360" w:lineRule="auto"/>
    </w:pPr>
    <w:rPr>
      <w:rFonts w:ascii="Arial" w:hAnsi="Arial"/>
    </w:rPr>
  </w:style>
  <w:style w:type="character" w:styleId="Hyperlink">
    <w:name w:val="Hyperlink"/>
    <w:basedOn w:val="DefaultParagraphFont"/>
    <w:uiPriority w:val="99"/>
    <w:unhideWhenUsed/>
    <w:rsid w:val="00D52916"/>
    <w:rPr>
      <w:color w:val="0563C1" w:themeColor="hyperlink"/>
      <w:u w:val="single"/>
    </w:rPr>
  </w:style>
  <w:style w:type="paragraph" w:customStyle="1" w:styleId="Numberedlist">
    <w:name w:val="Numbered list"/>
    <w:basedOn w:val="Bullets"/>
    <w:qFormat/>
    <w:rsid w:val="00D52916"/>
    <w:pPr>
      <w:numPr>
        <w:numId w:val="2"/>
      </w:numPr>
      <w:ind w:left="993" w:hanging="426"/>
    </w:pPr>
  </w:style>
  <w:style w:type="paragraph" w:customStyle="1" w:styleId="Paragraphnonumbers">
    <w:name w:val="Paragraph no numbers"/>
    <w:basedOn w:val="Normal"/>
    <w:uiPriority w:val="99"/>
    <w:qFormat/>
    <w:rsid w:val="00D52916"/>
    <w:pPr>
      <w:spacing w:after="240" w:line="276" w:lineRule="auto"/>
    </w:pPr>
    <w:rPr>
      <w:rFonts w:ascii="Arial" w:hAnsi="Arial"/>
    </w:rPr>
  </w:style>
  <w:style w:type="paragraph" w:customStyle="1" w:styleId="NICEnormal">
    <w:name w:val="NICE normal"/>
    <w:link w:val="NICEnormalChar"/>
    <w:qFormat/>
    <w:rsid w:val="00D52916"/>
    <w:pPr>
      <w:spacing w:after="240" w:line="360" w:lineRule="auto"/>
    </w:pPr>
    <w:rPr>
      <w:rFonts w:ascii="Arial" w:eastAsia="Times New Roman" w:hAnsi="Arial" w:cs="Times New Roman"/>
      <w:sz w:val="24"/>
      <w:szCs w:val="24"/>
      <w:lang w:val="en-US"/>
    </w:rPr>
  </w:style>
  <w:style w:type="character" w:customStyle="1" w:styleId="NICEnormalChar">
    <w:name w:val="NICE normal Char"/>
    <w:link w:val="NICEnormal"/>
    <w:rsid w:val="00D52916"/>
    <w:rPr>
      <w:rFonts w:ascii="Arial" w:eastAsia="Times New Roman" w:hAnsi="Arial" w:cs="Times New Roman"/>
      <w:sz w:val="24"/>
      <w:szCs w:val="24"/>
      <w:lang w:val="en-US"/>
    </w:rPr>
  </w:style>
  <w:style w:type="table" w:styleId="TableGrid">
    <w:name w:val="Table Grid"/>
    <w:basedOn w:val="TableNormal"/>
    <w:uiPriority w:val="39"/>
    <w:rsid w:val="00D5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624"/>
    <w:pPr>
      <w:tabs>
        <w:tab w:val="center" w:pos="4513"/>
        <w:tab w:val="right" w:pos="9026"/>
      </w:tabs>
    </w:pPr>
  </w:style>
  <w:style w:type="character" w:customStyle="1" w:styleId="HeaderChar">
    <w:name w:val="Header Char"/>
    <w:basedOn w:val="DefaultParagraphFont"/>
    <w:link w:val="Header"/>
    <w:uiPriority w:val="99"/>
    <w:rsid w:val="00D7262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72624"/>
    <w:pPr>
      <w:tabs>
        <w:tab w:val="center" w:pos="4513"/>
        <w:tab w:val="right" w:pos="9026"/>
      </w:tabs>
    </w:pPr>
  </w:style>
  <w:style w:type="character" w:customStyle="1" w:styleId="FooterChar">
    <w:name w:val="Footer Char"/>
    <w:basedOn w:val="DefaultParagraphFont"/>
    <w:link w:val="Footer"/>
    <w:uiPriority w:val="99"/>
    <w:rsid w:val="00D7262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cg185" TargetMode="External"/><Relationship Id="rId18" Type="http://schemas.openxmlformats.org/officeDocument/2006/relationships/hyperlink" Target="https://www.nice.org.uk/guidance/ng196" TargetMode="External"/><Relationship Id="rId3" Type="http://schemas.openxmlformats.org/officeDocument/2006/relationships/styles" Target="styles.xml"/><Relationship Id="rId21" Type="http://schemas.openxmlformats.org/officeDocument/2006/relationships/hyperlink" Target="https://www.nice.org.uk/guidance/ng203" TargetMode="External"/><Relationship Id="rId7" Type="http://schemas.openxmlformats.org/officeDocument/2006/relationships/footnotes" Target="footnotes.xml"/><Relationship Id="rId12" Type="http://schemas.openxmlformats.org/officeDocument/2006/relationships/hyperlink" Target="https://www.nice.org.uk/guidance/cg178" TargetMode="External"/><Relationship Id="rId17" Type="http://schemas.openxmlformats.org/officeDocument/2006/relationships/hyperlink" Target="https://www.nice.org.uk/guidance/ng196/chapter/Recommendations" TargetMode="External"/><Relationship Id="rId2" Type="http://schemas.openxmlformats.org/officeDocument/2006/relationships/numbering" Target="numbering.xml"/><Relationship Id="rId16" Type="http://schemas.openxmlformats.org/officeDocument/2006/relationships/hyperlink" Target="https://www.nice.org.uk/guidance/ng196/chapter/Recommendations" TargetMode="External"/><Relationship Id="rId20" Type="http://schemas.openxmlformats.org/officeDocument/2006/relationships/hyperlink" Target="https://www.nice.org.uk/guidance/ng2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statistics/statistical-work-areas/serious-mental-illness-sm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ngland.nhs.uk/wp-content/uploads/2022/03/B1357-investment-and-impact-fund-2022-23-updated-guidance-march-2022.pdf" TargetMode="External"/><Relationship Id="rId23" Type="http://schemas.openxmlformats.org/officeDocument/2006/relationships/fontTable" Target="fontTable.xml"/><Relationship Id="rId10" Type="http://schemas.openxmlformats.org/officeDocument/2006/relationships/hyperlink" Target="https://www.gov.uk/government/publications/severe-mental-illness-smi-physical-health-inequalities/severe-mental-illness-and-physical-health-inequalities-briefing" TargetMode="External"/><Relationship Id="rId19" Type="http://schemas.openxmlformats.org/officeDocument/2006/relationships/hyperlink" Target="https://www.cvdprevent.nhs.uk/data-explorer?period=4&amp;area=1&amp;indicator=30" TargetMode="External"/><Relationship Id="rId4" Type="http://schemas.microsoft.com/office/2007/relationships/stylesWithEffects" Target="stylesWithEffects.xml"/><Relationship Id="rId9" Type="http://schemas.openxmlformats.org/officeDocument/2006/relationships/hyperlink" Target="mailto:info.lmcqueries@bma.org.uk" TargetMode="External"/><Relationship Id="rId14" Type="http://schemas.openxmlformats.org/officeDocument/2006/relationships/hyperlink" Target="https://www.nice.org.uk/guidance/ph24" TargetMode="External"/><Relationship Id="rId22" Type="http://schemas.openxmlformats.org/officeDocument/2006/relationships/hyperlink" Target="https://www.nice.org.uk/guidance/ng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5B493-C113-4C3E-8B7F-E065C61C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Williams</dc:creator>
  <cp:lastModifiedBy>Tim</cp:lastModifiedBy>
  <cp:revision>2</cp:revision>
  <dcterms:created xsi:type="dcterms:W3CDTF">2022-10-23T11:23:00Z</dcterms:created>
  <dcterms:modified xsi:type="dcterms:W3CDTF">2022-10-23T11:23:00Z</dcterms:modified>
</cp:coreProperties>
</file>