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29880" w14:textId="639F25FD" w:rsidR="00707160" w:rsidRPr="00F74F4E" w:rsidRDefault="001B7F6A" w:rsidP="001B7F6A">
      <w:pPr>
        <w:pStyle w:val="Heading2"/>
        <w:rPr>
          <w:b/>
          <w:bCs/>
          <w:sz w:val="24"/>
          <w:szCs w:val="24"/>
        </w:rPr>
      </w:pPr>
      <w:bookmarkStart w:id="0" w:name="_GoBack"/>
      <w:bookmarkEnd w:id="0"/>
      <w:r w:rsidRPr="00F74F4E">
        <w:rPr>
          <w:b/>
          <w:bCs/>
          <w:sz w:val="24"/>
          <w:szCs w:val="24"/>
        </w:rPr>
        <w:t xml:space="preserve">NHSE Legislative Proposals – </w:t>
      </w:r>
      <w:r w:rsidR="00BC0485">
        <w:rPr>
          <w:b/>
          <w:bCs/>
          <w:sz w:val="24"/>
          <w:szCs w:val="24"/>
        </w:rPr>
        <w:t xml:space="preserve">Outline </w:t>
      </w:r>
      <w:r w:rsidRPr="00F74F4E">
        <w:rPr>
          <w:b/>
          <w:bCs/>
          <w:sz w:val="24"/>
          <w:szCs w:val="24"/>
        </w:rPr>
        <w:t xml:space="preserve">BMA Response </w:t>
      </w:r>
    </w:p>
    <w:p w14:paraId="11F50915" w14:textId="5A4AB9A7" w:rsidR="001B7F6A" w:rsidRDefault="001B7F6A"/>
    <w:p w14:paraId="3C7436E6" w14:textId="77777777" w:rsidR="00972D96" w:rsidRDefault="001B7F6A">
      <w:pPr>
        <w:rPr>
          <w:rStyle w:val="Hyperlink"/>
          <w:rFonts w:ascii="Calibri" w:eastAsia="Times New Roman" w:hAnsi="Calibri" w:cs="Calibri"/>
          <w:color w:val="auto"/>
          <w:u w:val="none"/>
          <w:lang w:eastAsia="en-GB"/>
        </w:rPr>
      </w:pPr>
      <w:r>
        <w:rPr>
          <w:rFonts w:ascii="Calibri" w:eastAsia="Times New Roman" w:hAnsi="Calibri" w:cs="Calibri"/>
          <w:lang w:eastAsia="en-GB"/>
        </w:rPr>
        <w:t xml:space="preserve">This document </w:t>
      </w:r>
      <w:r w:rsidR="003D2D57">
        <w:rPr>
          <w:rFonts w:ascii="Calibri" w:eastAsia="Times New Roman" w:hAnsi="Calibri" w:cs="Calibri"/>
          <w:lang w:eastAsia="en-GB"/>
        </w:rPr>
        <w:t>sets out a</w:t>
      </w:r>
      <w:r w:rsidR="00E85FE0">
        <w:rPr>
          <w:rFonts w:ascii="Calibri" w:eastAsia="Times New Roman" w:hAnsi="Calibri" w:cs="Calibri"/>
          <w:lang w:eastAsia="en-GB"/>
        </w:rPr>
        <w:t xml:space="preserve"> draft outline of the </w:t>
      </w:r>
      <w:r w:rsidR="004601FE">
        <w:rPr>
          <w:rFonts w:ascii="Calibri" w:eastAsia="Times New Roman" w:hAnsi="Calibri" w:cs="Calibri"/>
          <w:lang w:eastAsia="en-GB"/>
        </w:rPr>
        <w:t xml:space="preserve">BMA </w:t>
      </w:r>
      <w:r>
        <w:rPr>
          <w:rFonts w:ascii="Calibri" w:eastAsia="Times New Roman" w:hAnsi="Calibri" w:cs="Calibri"/>
          <w:lang w:eastAsia="en-GB"/>
        </w:rPr>
        <w:t xml:space="preserve">response to NHS England’s consultation </w:t>
      </w:r>
      <w:r w:rsidR="004601FE">
        <w:rPr>
          <w:rFonts w:ascii="Calibri" w:eastAsia="Times New Roman" w:hAnsi="Calibri" w:cs="Calibri"/>
          <w:lang w:eastAsia="en-GB"/>
        </w:rPr>
        <w:t xml:space="preserve">on </w:t>
      </w:r>
      <w:hyperlink r:id="rId11" w:history="1">
        <w:r w:rsidR="004601FE" w:rsidRPr="004601FE">
          <w:rPr>
            <w:rStyle w:val="Hyperlink"/>
            <w:rFonts w:ascii="Calibri" w:eastAsia="Times New Roman" w:hAnsi="Calibri" w:cs="Calibri"/>
            <w:lang w:eastAsia="en-GB"/>
          </w:rPr>
          <w:t>new legislative proposals</w:t>
        </w:r>
      </w:hyperlink>
      <w:r w:rsidR="00E85FE0">
        <w:rPr>
          <w:rStyle w:val="Hyperlink"/>
          <w:rFonts w:ascii="Calibri" w:eastAsia="Times New Roman" w:hAnsi="Calibri" w:cs="Calibri"/>
          <w:color w:val="auto"/>
          <w:u w:val="none"/>
          <w:lang w:eastAsia="en-GB"/>
        </w:rPr>
        <w:t xml:space="preserve">. </w:t>
      </w:r>
    </w:p>
    <w:p w14:paraId="0DFBCC8A" w14:textId="77777777" w:rsidR="00972D96" w:rsidRDefault="00972D96">
      <w:pPr>
        <w:rPr>
          <w:rStyle w:val="Hyperlink"/>
          <w:rFonts w:ascii="Calibri" w:eastAsia="Times New Roman" w:hAnsi="Calibri" w:cs="Calibri"/>
          <w:color w:val="auto"/>
          <w:u w:val="none"/>
          <w:lang w:eastAsia="en-GB"/>
        </w:rPr>
      </w:pPr>
    </w:p>
    <w:p w14:paraId="6A911644" w14:textId="178148DC" w:rsidR="00860AD1" w:rsidRPr="00502969" w:rsidRDefault="00972D96">
      <w:pPr>
        <w:rPr>
          <w:rFonts w:ascii="Calibri" w:eastAsia="Times New Roman" w:hAnsi="Calibri" w:cs="Calibri"/>
          <w:b/>
          <w:bCs/>
          <w:u w:val="single"/>
          <w:lang w:eastAsia="en-GB"/>
        </w:rPr>
      </w:pPr>
      <w:r>
        <w:rPr>
          <w:rStyle w:val="Hyperlink"/>
          <w:rFonts w:ascii="Calibri" w:eastAsia="Times New Roman" w:hAnsi="Calibri" w:cs="Calibri"/>
          <w:color w:val="auto"/>
          <w:u w:val="none"/>
          <w:lang w:eastAsia="en-GB"/>
        </w:rPr>
        <w:t xml:space="preserve">Our submission will argue that </w:t>
      </w:r>
      <w:r w:rsidR="001D0038" w:rsidRPr="00306CE2">
        <w:rPr>
          <w:rStyle w:val="Hyperlink"/>
          <w:rFonts w:ascii="Calibri" w:eastAsia="Times New Roman" w:hAnsi="Calibri" w:cs="Calibri"/>
          <w:b/>
          <w:bCs/>
          <w:color w:val="auto"/>
          <w:lang w:eastAsia="en-GB"/>
        </w:rPr>
        <w:t xml:space="preserve">while </w:t>
      </w:r>
      <w:r w:rsidR="00915FDB" w:rsidRPr="00306CE2">
        <w:rPr>
          <w:rStyle w:val="Hyperlink"/>
          <w:rFonts w:ascii="Calibri" w:eastAsia="Times New Roman" w:hAnsi="Calibri" w:cs="Calibri"/>
          <w:b/>
          <w:bCs/>
          <w:color w:val="auto"/>
          <w:lang w:eastAsia="en-GB"/>
        </w:rPr>
        <w:t>the</w:t>
      </w:r>
      <w:r w:rsidR="00915FDB" w:rsidRPr="00502969">
        <w:rPr>
          <w:rStyle w:val="Hyperlink"/>
          <w:rFonts w:ascii="Calibri" w:eastAsia="Times New Roman" w:hAnsi="Calibri" w:cs="Calibri"/>
          <w:b/>
          <w:bCs/>
          <w:color w:val="auto"/>
          <w:lang w:eastAsia="en-GB"/>
        </w:rPr>
        <w:t xml:space="preserve"> proposals </w:t>
      </w:r>
      <w:r w:rsidR="00C048CB">
        <w:rPr>
          <w:rFonts w:ascii="Calibri" w:eastAsia="Times New Roman" w:hAnsi="Calibri" w:cs="Calibri"/>
          <w:b/>
          <w:bCs/>
          <w:u w:val="single"/>
          <w:lang w:eastAsia="en-GB"/>
        </w:rPr>
        <w:t>include some positive</w:t>
      </w:r>
      <w:r w:rsidR="00915FDB" w:rsidRPr="00502969">
        <w:rPr>
          <w:rFonts w:ascii="Calibri" w:eastAsia="Times New Roman" w:hAnsi="Calibri" w:cs="Calibri"/>
          <w:b/>
          <w:bCs/>
          <w:u w:val="single"/>
          <w:lang w:eastAsia="en-GB"/>
        </w:rPr>
        <w:t xml:space="preserve"> step</w:t>
      </w:r>
      <w:r w:rsidR="00C048CB">
        <w:rPr>
          <w:rFonts w:ascii="Calibri" w:eastAsia="Times New Roman" w:hAnsi="Calibri" w:cs="Calibri"/>
          <w:b/>
          <w:bCs/>
          <w:u w:val="single"/>
          <w:lang w:eastAsia="en-GB"/>
        </w:rPr>
        <w:t>s</w:t>
      </w:r>
      <w:r w:rsidR="00915FDB" w:rsidRPr="00502969">
        <w:rPr>
          <w:rFonts w:ascii="Calibri" w:eastAsia="Times New Roman" w:hAnsi="Calibri" w:cs="Calibri"/>
          <w:b/>
          <w:bCs/>
          <w:u w:val="single"/>
          <w:lang w:eastAsia="en-GB"/>
        </w:rPr>
        <w:t xml:space="preserve"> forward in respect of </w:t>
      </w:r>
      <w:r w:rsidR="00C855DA" w:rsidRPr="00502969">
        <w:rPr>
          <w:rFonts w:ascii="Calibri" w:eastAsia="Times New Roman" w:hAnsi="Calibri" w:cs="Calibri"/>
          <w:b/>
          <w:bCs/>
          <w:u w:val="single"/>
          <w:lang w:eastAsia="en-GB"/>
        </w:rPr>
        <w:t xml:space="preserve">delivering integration, </w:t>
      </w:r>
      <w:r w:rsidR="00C048CB">
        <w:rPr>
          <w:rFonts w:ascii="Calibri" w:eastAsia="Times New Roman" w:hAnsi="Calibri" w:cs="Calibri"/>
          <w:b/>
          <w:bCs/>
          <w:u w:val="single"/>
          <w:lang w:eastAsia="en-GB"/>
        </w:rPr>
        <w:t>they</w:t>
      </w:r>
      <w:r w:rsidR="00C048CB" w:rsidRPr="00502969">
        <w:rPr>
          <w:rFonts w:ascii="Calibri" w:eastAsia="Times New Roman" w:hAnsi="Calibri" w:cs="Calibri"/>
          <w:b/>
          <w:bCs/>
          <w:u w:val="single"/>
          <w:lang w:eastAsia="en-GB"/>
        </w:rPr>
        <w:t xml:space="preserve"> </w:t>
      </w:r>
      <w:r w:rsidR="00C855DA" w:rsidRPr="00502969">
        <w:rPr>
          <w:rFonts w:ascii="Calibri" w:eastAsia="Times New Roman" w:hAnsi="Calibri" w:cs="Calibri"/>
          <w:b/>
          <w:bCs/>
          <w:u w:val="single"/>
          <w:lang w:eastAsia="en-GB"/>
        </w:rPr>
        <w:t xml:space="preserve">lack clarity in key aspects and fail to go far enough </w:t>
      </w:r>
      <w:r w:rsidR="00877582" w:rsidRPr="00502969">
        <w:rPr>
          <w:rFonts w:ascii="Calibri" w:eastAsia="Times New Roman" w:hAnsi="Calibri" w:cs="Calibri"/>
          <w:b/>
          <w:bCs/>
          <w:u w:val="single"/>
          <w:lang w:eastAsia="en-GB"/>
        </w:rPr>
        <w:t xml:space="preserve">to build the system the NHS and its workforce needs. </w:t>
      </w:r>
    </w:p>
    <w:p w14:paraId="20D268BA" w14:textId="43086E9A" w:rsidR="00877582" w:rsidRDefault="00877582">
      <w:pPr>
        <w:rPr>
          <w:rFonts w:ascii="Calibri" w:eastAsia="Times New Roman" w:hAnsi="Calibri" w:cs="Calibri"/>
          <w:lang w:eastAsia="en-GB"/>
        </w:rPr>
      </w:pPr>
    </w:p>
    <w:p w14:paraId="3587EB47" w14:textId="088CB0AF" w:rsidR="00877582" w:rsidRDefault="00877582">
      <w:pPr>
        <w:rPr>
          <w:rFonts w:ascii="Calibri" w:eastAsia="Times New Roman" w:hAnsi="Calibri" w:cs="Calibri"/>
          <w:lang w:eastAsia="en-GB"/>
        </w:rPr>
      </w:pPr>
      <w:r>
        <w:rPr>
          <w:rFonts w:ascii="Calibri" w:eastAsia="Times New Roman" w:hAnsi="Calibri" w:cs="Calibri"/>
          <w:lang w:eastAsia="en-GB"/>
        </w:rPr>
        <w:t>In support of this, our response will focus on the following central arguments:</w:t>
      </w:r>
    </w:p>
    <w:p w14:paraId="1862F12C" w14:textId="26CADAAC" w:rsidR="00877582" w:rsidRDefault="00877582">
      <w:pPr>
        <w:rPr>
          <w:rFonts w:ascii="Calibri" w:eastAsia="Times New Roman" w:hAnsi="Calibri" w:cs="Calibri"/>
          <w:lang w:eastAsia="en-GB"/>
        </w:rPr>
      </w:pPr>
    </w:p>
    <w:p w14:paraId="2A64FD43" w14:textId="77777777" w:rsidR="0053492F" w:rsidRDefault="0053492F" w:rsidP="00502969">
      <w:pPr>
        <w:pStyle w:val="ListParagraph"/>
        <w:numPr>
          <w:ilvl w:val="0"/>
          <w:numId w:val="4"/>
        </w:numPr>
      </w:pPr>
      <w:r w:rsidRPr="00972D96">
        <w:rPr>
          <w:b/>
          <w:bCs/>
        </w:rPr>
        <w:t xml:space="preserve">We agree that ICSs should be made statutory: </w:t>
      </w:r>
      <w:r w:rsidRPr="004A2C47">
        <w:t>as</w:t>
      </w:r>
      <w:r w:rsidRPr="00972D96">
        <w:rPr>
          <w:b/>
          <w:bCs/>
        </w:rPr>
        <w:t xml:space="preserve"> </w:t>
      </w:r>
      <w:r>
        <w:t xml:space="preserve">we have argued previously, the lack of statutory footing for ICSs strictly limits their accountability and transparency. This would, in part, be resolved by making ICSs statutory bodies. </w:t>
      </w:r>
    </w:p>
    <w:p w14:paraId="7F54C815" w14:textId="77777777" w:rsidR="0053492F" w:rsidRDefault="0053492F" w:rsidP="0053492F"/>
    <w:p w14:paraId="728CB82D" w14:textId="7BCE841A" w:rsidR="0053492F" w:rsidRPr="004A2C47" w:rsidRDefault="00972D96" w:rsidP="00502969">
      <w:pPr>
        <w:pStyle w:val="ListParagraph"/>
        <w:numPr>
          <w:ilvl w:val="0"/>
          <w:numId w:val="4"/>
        </w:numPr>
      </w:pPr>
      <w:r>
        <w:rPr>
          <w:b/>
          <w:bCs/>
        </w:rPr>
        <w:t xml:space="preserve">The positive elements of CCGs must be retained in any new model: </w:t>
      </w:r>
      <w:r w:rsidR="0053492F" w:rsidRPr="00502969">
        <w:t xml:space="preserve">We endorse neither option </w:t>
      </w:r>
      <w:r>
        <w:t xml:space="preserve">set out in the consultation </w:t>
      </w:r>
      <w:r w:rsidR="0053492F" w:rsidRPr="00502969">
        <w:t>for the future of CCGs</w:t>
      </w:r>
      <w:r>
        <w:t>.</w:t>
      </w:r>
      <w:r w:rsidR="0053492F" w:rsidRPr="00972D96">
        <w:rPr>
          <w:b/>
          <w:bCs/>
        </w:rPr>
        <w:t xml:space="preserve"> </w:t>
      </w:r>
      <w:r>
        <w:t>T</w:t>
      </w:r>
      <w:r w:rsidR="0053492F">
        <w:t xml:space="preserve">he choice presented is not genuine, given the clear preference for option 2 in the proposals and the significant impact on CCGs caused by either approach. Instead we </w:t>
      </w:r>
      <w:r w:rsidR="00C33519">
        <w:t xml:space="preserve">will </w:t>
      </w:r>
      <w:r w:rsidR="0053492F">
        <w:t>call for the key, positive elements of CCGs</w:t>
      </w:r>
      <w:r w:rsidR="00F239BA">
        <w:t xml:space="preserve">, </w:t>
      </w:r>
      <w:r>
        <w:t>such as a strong clinical voice</w:t>
      </w:r>
      <w:r w:rsidR="003A56DC">
        <w:t xml:space="preserve">, </w:t>
      </w:r>
      <w:r>
        <w:t>local decision making</w:t>
      </w:r>
      <w:r w:rsidR="00F239BA">
        <w:t>,</w:t>
      </w:r>
      <w:r w:rsidR="003A56DC">
        <w:t xml:space="preserve"> and accountability to clinicians </w:t>
      </w:r>
      <w:r w:rsidR="0053492F">
        <w:t xml:space="preserve">to be retained in any new model. </w:t>
      </w:r>
    </w:p>
    <w:p w14:paraId="1B827B94" w14:textId="77777777" w:rsidR="0053492F" w:rsidRDefault="0053492F" w:rsidP="0053492F">
      <w:pPr>
        <w:rPr>
          <w:b/>
          <w:bCs/>
        </w:rPr>
      </w:pPr>
    </w:p>
    <w:p w14:paraId="77CB9F86" w14:textId="77777777" w:rsidR="0053492F" w:rsidRPr="000E2066" w:rsidRDefault="0053492F" w:rsidP="00502969">
      <w:pPr>
        <w:pStyle w:val="ListParagraph"/>
        <w:numPr>
          <w:ilvl w:val="0"/>
          <w:numId w:val="4"/>
        </w:numPr>
      </w:pPr>
      <w:r w:rsidRPr="00972D96">
        <w:rPr>
          <w:b/>
          <w:bCs/>
        </w:rPr>
        <w:t xml:space="preserve">Foundation Trusts should also be subject to legal reform: </w:t>
      </w:r>
      <w:r>
        <w:t>current accountabilities and financial imperatives for Foundation Trusts create perverse incentives and hinder collaboration. As well as reforming CCGs, NHSE should take the opportunity to reform the role of Foundation Trusts, too.</w:t>
      </w:r>
    </w:p>
    <w:p w14:paraId="59B3D1D0" w14:textId="77777777" w:rsidR="0053492F" w:rsidRDefault="0053492F" w:rsidP="0053492F">
      <w:pPr>
        <w:rPr>
          <w:b/>
          <w:bCs/>
        </w:rPr>
      </w:pPr>
    </w:p>
    <w:p w14:paraId="6284F566" w14:textId="3B012ECD" w:rsidR="0053492F" w:rsidRPr="000E2066" w:rsidRDefault="0053492F" w:rsidP="00502969">
      <w:pPr>
        <w:pStyle w:val="ListParagraph"/>
        <w:numPr>
          <w:ilvl w:val="0"/>
          <w:numId w:val="4"/>
        </w:numPr>
      </w:pPr>
      <w:r w:rsidRPr="00972D96">
        <w:rPr>
          <w:b/>
          <w:bCs/>
        </w:rPr>
        <w:t xml:space="preserve">A strong clinical voice within ICSs is essential: </w:t>
      </w:r>
      <w:r>
        <w:t>the present system and the proposals fail to provide a clear, strong voice for clinicians. We will argue for a leading role for clinicians – across all branches of practice – and proper representation within all ICSs and their substructures (i.e. Place)</w:t>
      </w:r>
      <w:r w:rsidR="006B0E76">
        <w:t>, including for</w:t>
      </w:r>
      <w:r w:rsidR="00F54396">
        <w:t>mal</w:t>
      </w:r>
      <w:r w:rsidR="00493B37">
        <w:t>ised</w:t>
      </w:r>
      <w:r w:rsidR="00F54396">
        <w:t xml:space="preserve"> roles for</w:t>
      </w:r>
      <w:r w:rsidR="006B0E76">
        <w:t xml:space="preserve"> LMCs as </w:t>
      </w:r>
      <w:r w:rsidR="00F84E0D">
        <w:t>representatives of provider GPs</w:t>
      </w:r>
      <w:r>
        <w:t xml:space="preserve">. </w:t>
      </w:r>
    </w:p>
    <w:p w14:paraId="21C725EB" w14:textId="77777777" w:rsidR="0053492F" w:rsidRDefault="0053492F" w:rsidP="0053492F">
      <w:pPr>
        <w:rPr>
          <w:b/>
          <w:bCs/>
        </w:rPr>
      </w:pPr>
    </w:p>
    <w:p w14:paraId="7006765E" w14:textId="278F3BD6" w:rsidR="0053492F" w:rsidRPr="000E2066" w:rsidRDefault="0053492F" w:rsidP="00502969">
      <w:pPr>
        <w:pStyle w:val="ListParagraph"/>
        <w:numPr>
          <w:ilvl w:val="0"/>
          <w:numId w:val="4"/>
        </w:numPr>
      </w:pPr>
      <w:r w:rsidRPr="00972D96">
        <w:rPr>
          <w:b/>
          <w:bCs/>
        </w:rPr>
        <w:t xml:space="preserve">Changes to competition rules are positive but have to be reinforced by making the NHS the preferred provider of services: </w:t>
      </w:r>
      <w:r>
        <w:t>we</w:t>
      </w:r>
      <w:r w:rsidR="00EC3D35">
        <w:t xml:space="preserve"> strongly believe that NHS services should not be subcontracted to private providers and</w:t>
      </w:r>
      <w:r>
        <w:t xml:space="preserve"> have argued that removing Section 75 and competitive tendering is not enough, as this may lead to the use of other, equally undesirable approaches to tendering. We will argue for the NHS to be made the preferred provider of NHS services as part of the reforms. </w:t>
      </w:r>
    </w:p>
    <w:p w14:paraId="42F7F7B9" w14:textId="77777777" w:rsidR="0053492F" w:rsidRDefault="0053492F" w:rsidP="0053492F">
      <w:pPr>
        <w:rPr>
          <w:b/>
          <w:bCs/>
        </w:rPr>
      </w:pPr>
    </w:p>
    <w:p w14:paraId="3DE74C8C" w14:textId="34C5F6D1" w:rsidR="0053492F" w:rsidRPr="000E2066" w:rsidRDefault="00972D96" w:rsidP="00502969">
      <w:pPr>
        <w:pStyle w:val="ListParagraph"/>
        <w:numPr>
          <w:ilvl w:val="0"/>
          <w:numId w:val="4"/>
        </w:numPr>
      </w:pPr>
      <w:r>
        <w:rPr>
          <w:b/>
          <w:bCs/>
        </w:rPr>
        <w:t xml:space="preserve">Safe and adequate staffing </w:t>
      </w:r>
      <w:r w:rsidR="008F1D90" w:rsidRPr="00972D96">
        <w:rPr>
          <w:b/>
          <w:bCs/>
        </w:rPr>
        <w:t>is absolutely essential to i</w:t>
      </w:r>
      <w:r w:rsidR="0053492F" w:rsidRPr="00972D96">
        <w:rPr>
          <w:b/>
          <w:bCs/>
        </w:rPr>
        <w:t xml:space="preserve">ntegration: </w:t>
      </w:r>
      <w:r w:rsidR="0053492F">
        <w:t xml:space="preserve">increased ICS-level management of the local workforce has potential benefits, but will not matter if there is insufficient recruitment, training, and retention of staff. NHSE England should be clear about how this will be secured and explore the opportunity to pursue reforms such as safe staffing </w:t>
      </w:r>
      <w:r w:rsidR="008F1D90">
        <w:t>legislation</w:t>
      </w:r>
      <w:r w:rsidR="0053492F">
        <w:t xml:space="preserve">.  </w:t>
      </w:r>
    </w:p>
    <w:p w14:paraId="6D70769E" w14:textId="77777777" w:rsidR="0053492F" w:rsidRDefault="0053492F" w:rsidP="0053492F">
      <w:pPr>
        <w:rPr>
          <w:b/>
          <w:bCs/>
        </w:rPr>
      </w:pPr>
    </w:p>
    <w:p w14:paraId="0E836A7C" w14:textId="59296C43" w:rsidR="0053492F" w:rsidRPr="00E2478D" w:rsidRDefault="0053492F" w:rsidP="00502969">
      <w:pPr>
        <w:pStyle w:val="ListParagraph"/>
        <w:numPr>
          <w:ilvl w:val="0"/>
          <w:numId w:val="4"/>
        </w:numPr>
      </w:pPr>
      <w:r w:rsidRPr="00972D96">
        <w:rPr>
          <w:b/>
          <w:bCs/>
        </w:rPr>
        <w:t>Pooling</w:t>
      </w:r>
      <w:r w:rsidR="00A92D4F">
        <w:rPr>
          <w:b/>
          <w:bCs/>
        </w:rPr>
        <w:t xml:space="preserve"> certain</w:t>
      </w:r>
      <w:r w:rsidRPr="00972D96">
        <w:rPr>
          <w:b/>
          <w:bCs/>
        </w:rPr>
        <w:t xml:space="preserve"> funding</w:t>
      </w:r>
      <w:r w:rsidR="00A92D4F">
        <w:rPr>
          <w:b/>
          <w:bCs/>
        </w:rPr>
        <w:t xml:space="preserve"> streams</w:t>
      </w:r>
      <w:r w:rsidRPr="00972D96">
        <w:rPr>
          <w:b/>
          <w:bCs/>
        </w:rPr>
        <w:t xml:space="preserve"> makes practical sense but must come with safeguards: </w:t>
      </w:r>
      <w:r>
        <w:t>present funding arrangements increase fragmentation and create perverse incentives. This can be overcome in part by pooling some budgets, but NHS funding</w:t>
      </w:r>
      <w:r w:rsidR="00E35EE8">
        <w:t xml:space="preserve">, General Practice </w:t>
      </w:r>
      <w:r w:rsidR="00460D6A">
        <w:t>budgets</w:t>
      </w:r>
      <w:r w:rsidR="00E35EE8">
        <w:t xml:space="preserve"> – including GMS and PMS</w:t>
      </w:r>
      <w:r w:rsidR="00F201BE">
        <w:t xml:space="preserve"> contract funding</w:t>
      </w:r>
      <w:r w:rsidR="00E35EE8">
        <w:t>,</w:t>
      </w:r>
      <w:r>
        <w:t xml:space="preserve"> and locally agreed arrangements (such as those between GP practices and CCGs) must be </w:t>
      </w:r>
      <w:r w:rsidR="000F6193">
        <w:t>ringfenced</w:t>
      </w:r>
      <w:r>
        <w:t>.</w:t>
      </w:r>
    </w:p>
    <w:p w14:paraId="6298DDDA" w14:textId="77777777" w:rsidR="0053492F" w:rsidRDefault="0053492F" w:rsidP="0053492F">
      <w:pPr>
        <w:rPr>
          <w:b/>
          <w:bCs/>
        </w:rPr>
      </w:pPr>
    </w:p>
    <w:p w14:paraId="1D83E6FD" w14:textId="5EB773DA" w:rsidR="0053492F" w:rsidRPr="00972D96" w:rsidRDefault="0053492F" w:rsidP="00502969">
      <w:pPr>
        <w:pStyle w:val="ListParagraph"/>
        <w:numPr>
          <w:ilvl w:val="0"/>
          <w:numId w:val="4"/>
        </w:numPr>
        <w:rPr>
          <w:b/>
          <w:bCs/>
        </w:rPr>
      </w:pPr>
      <w:r w:rsidRPr="00972D96">
        <w:rPr>
          <w:b/>
          <w:bCs/>
        </w:rPr>
        <w:t xml:space="preserve">Accountability is essential if ICSs are to be successful: </w:t>
      </w:r>
      <w:r>
        <w:t xml:space="preserve">the present system lacks accountability and limits the ability of staff and patients to challenge decisions. </w:t>
      </w:r>
      <w:r w:rsidRPr="00972D96">
        <w:rPr>
          <w:b/>
          <w:bCs/>
        </w:rPr>
        <w:t xml:space="preserve"> </w:t>
      </w:r>
      <w:r w:rsidRPr="00E2478D">
        <w:t>We will call on NHSE to make clear how ICSs and their substructures will be held accountable, especially with the diminished role of CCGs.</w:t>
      </w:r>
    </w:p>
    <w:p w14:paraId="684135E0" w14:textId="77777777" w:rsidR="0053492F" w:rsidRDefault="0053492F" w:rsidP="0053492F">
      <w:pPr>
        <w:rPr>
          <w:b/>
          <w:bCs/>
        </w:rPr>
      </w:pPr>
    </w:p>
    <w:p w14:paraId="28BCB488" w14:textId="28B814F9" w:rsidR="0053492F" w:rsidRPr="00E2478D" w:rsidRDefault="00322F9C" w:rsidP="00502969">
      <w:pPr>
        <w:pStyle w:val="ListParagraph"/>
        <w:numPr>
          <w:ilvl w:val="0"/>
          <w:numId w:val="4"/>
        </w:numPr>
      </w:pPr>
      <w:r>
        <w:rPr>
          <w:b/>
          <w:bCs/>
        </w:rPr>
        <w:lastRenderedPageBreak/>
        <w:t>The</w:t>
      </w:r>
      <w:r w:rsidRPr="00972D96">
        <w:rPr>
          <w:b/>
          <w:bCs/>
        </w:rPr>
        <w:t xml:space="preserve"> </w:t>
      </w:r>
      <w:r w:rsidR="0053492F" w:rsidRPr="00972D96">
        <w:rPr>
          <w:b/>
          <w:bCs/>
        </w:rPr>
        <w:t xml:space="preserve">role </w:t>
      </w:r>
      <w:r>
        <w:rPr>
          <w:b/>
          <w:bCs/>
        </w:rPr>
        <w:t xml:space="preserve">of social care </w:t>
      </w:r>
      <w:r w:rsidR="0053492F" w:rsidRPr="00972D96">
        <w:rPr>
          <w:b/>
          <w:bCs/>
        </w:rPr>
        <w:t xml:space="preserve">within ICSs – particularly in respect of funding – </w:t>
      </w:r>
      <w:r>
        <w:rPr>
          <w:b/>
          <w:bCs/>
        </w:rPr>
        <w:t>needs to be clarified</w:t>
      </w:r>
      <w:r w:rsidR="0053492F" w:rsidRPr="00972D96">
        <w:rPr>
          <w:b/>
          <w:bCs/>
        </w:rPr>
        <w:t xml:space="preserve">: </w:t>
      </w:r>
      <w:r w:rsidR="0053492F">
        <w:t xml:space="preserve">the proposals do not present a vision for how social care will be integrated within ICSs. We will argue for greater clarity on social care involvement – particularly in respect of budgets. </w:t>
      </w:r>
    </w:p>
    <w:p w14:paraId="6A669D4B" w14:textId="77777777" w:rsidR="0053492F" w:rsidRDefault="0053492F" w:rsidP="0053492F">
      <w:pPr>
        <w:rPr>
          <w:b/>
          <w:bCs/>
        </w:rPr>
      </w:pPr>
    </w:p>
    <w:p w14:paraId="7DAD48EB" w14:textId="39095100" w:rsidR="0053492F" w:rsidRPr="00E2478D" w:rsidRDefault="0053492F" w:rsidP="00502969">
      <w:pPr>
        <w:pStyle w:val="ListParagraph"/>
        <w:numPr>
          <w:ilvl w:val="0"/>
          <w:numId w:val="4"/>
        </w:numPr>
      </w:pPr>
      <w:r w:rsidRPr="00322F9C">
        <w:rPr>
          <w:b/>
          <w:bCs/>
        </w:rPr>
        <w:t xml:space="preserve">Provider collaboratives present opportunities for clinical leadership but clarity is needed: </w:t>
      </w:r>
      <w:r>
        <w:t>the proposals are unclear on how provider collaboratives will work in practice and particularly the role of PCNs and GPs within them. We will call for that clarity, as well as for clear recognition of the importance of retaining the independent contractor status and partnership model of G</w:t>
      </w:r>
      <w:r w:rsidR="00907940">
        <w:t>eneral Practice</w:t>
      </w:r>
      <w:r>
        <w:t xml:space="preserve">. </w:t>
      </w:r>
    </w:p>
    <w:p w14:paraId="7BD3572E" w14:textId="77777777" w:rsidR="0053492F" w:rsidRDefault="0053492F" w:rsidP="0053492F">
      <w:pPr>
        <w:rPr>
          <w:b/>
          <w:bCs/>
        </w:rPr>
      </w:pPr>
    </w:p>
    <w:p w14:paraId="75C46AA1" w14:textId="2B730E18" w:rsidR="0053492F" w:rsidRDefault="0053492F" w:rsidP="00502969">
      <w:pPr>
        <w:pStyle w:val="ListParagraph"/>
        <w:numPr>
          <w:ilvl w:val="0"/>
          <w:numId w:val="4"/>
        </w:numPr>
      </w:pPr>
      <w:r w:rsidRPr="00322F9C">
        <w:rPr>
          <w:b/>
          <w:bCs/>
        </w:rPr>
        <w:t xml:space="preserve">The focus on improved use of data and technology is welcome but has to be supported with genuine investment: </w:t>
      </w:r>
      <w:r>
        <w:t>the proposals around data and technology sound positive</w:t>
      </w:r>
      <w:r w:rsidR="00907940">
        <w:t xml:space="preserve"> </w:t>
      </w:r>
      <w:r>
        <w:t xml:space="preserve">but are not new. We will argue that if the ambitions on this are to be met, then targeted investment is needed. </w:t>
      </w:r>
    </w:p>
    <w:p w14:paraId="5CA901B0" w14:textId="77777777" w:rsidR="00653958" w:rsidRDefault="00653958" w:rsidP="00306CE2">
      <w:pPr>
        <w:pStyle w:val="ListParagraph"/>
      </w:pPr>
    </w:p>
    <w:p w14:paraId="77F066E9" w14:textId="56FBBC1F" w:rsidR="00653958" w:rsidRPr="00E2478D" w:rsidRDefault="00653958" w:rsidP="00502969">
      <w:pPr>
        <w:pStyle w:val="ListParagraph"/>
        <w:numPr>
          <w:ilvl w:val="0"/>
          <w:numId w:val="4"/>
        </w:numPr>
      </w:pPr>
      <w:r w:rsidRPr="00306CE2">
        <w:rPr>
          <w:b/>
          <w:bCs/>
        </w:rPr>
        <w:t xml:space="preserve">The timing and scope of the consultation </w:t>
      </w:r>
      <w:r w:rsidR="00ED2523" w:rsidRPr="00306CE2">
        <w:rPr>
          <w:b/>
          <w:bCs/>
        </w:rPr>
        <w:t xml:space="preserve">limits </w:t>
      </w:r>
      <w:r w:rsidR="00091310" w:rsidRPr="00306CE2">
        <w:rPr>
          <w:b/>
          <w:bCs/>
        </w:rPr>
        <w:t xml:space="preserve">the capacity of </w:t>
      </w:r>
      <w:r w:rsidR="00262D12" w:rsidRPr="00306CE2">
        <w:rPr>
          <w:b/>
          <w:bCs/>
        </w:rPr>
        <w:t xml:space="preserve">clinicians and their representatives to respond </w:t>
      </w:r>
      <w:r w:rsidR="00A56F21" w:rsidRPr="00306CE2">
        <w:rPr>
          <w:b/>
          <w:bCs/>
        </w:rPr>
        <w:t>as thoroughly as possible, and underm</w:t>
      </w:r>
      <w:r w:rsidR="007D030E">
        <w:rPr>
          <w:b/>
          <w:bCs/>
        </w:rPr>
        <w:t>ines</w:t>
      </w:r>
      <w:r w:rsidR="00A56F21" w:rsidRPr="00306CE2">
        <w:rPr>
          <w:b/>
          <w:bCs/>
        </w:rPr>
        <w:t xml:space="preserve"> </w:t>
      </w:r>
      <w:r w:rsidR="00F02F1F" w:rsidRPr="00306CE2">
        <w:rPr>
          <w:b/>
          <w:bCs/>
        </w:rPr>
        <w:t>trust in the process:</w:t>
      </w:r>
      <w:r w:rsidR="00F02F1F">
        <w:t xml:space="preserve"> </w:t>
      </w:r>
      <w:r w:rsidR="005161AE">
        <w:t>carrying</w:t>
      </w:r>
      <w:r w:rsidR="00801D0C">
        <w:t xml:space="preserve"> out</w:t>
      </w:r>
      <w:r w:rsidR="005161AE">
        <w:t xml:space="preserve"> this consultation both during a pandemic and over the festive period </w:t>
      </w:r>
      <w:r w:rsidR="00302C0D">
        <w:t>limits</w:t>
      </w:r>
      <w:r w:rsidR="00D47A08">
        <w:t xml:space="preserve"> the opportunity for frontline clinicians to provide their views</w:t>
      </w:r>
      <w:r w:rsidR="004B55A1">
        <w:t xml:space="preserve"> and </w:t>
      </w:r>
      <w:r w:rsidR="00C736AA">
        <w:t xml:space="preserve">significantly reduces the quality of this engagement exercise. </w:t>
      </w:r>
      <w:r w:rsidR="00ED4DB8">
        <w:t>We will call for further, more meaningful engagement on these proposals</w:t>
      </w:r>
      <w:r w:rsidR="0056691E">
        <w:t xml:space="preserve"> prior to their submission to Parliament. </w:t>
      </w:r>
      <w:r w:rsidR="004B55A1">
        <w:t xml:space="preserve"> </w:t>
      </w:r>
    </w:p>
    <w:p w14:paraId="4F33C4B9" w14:textId="77777777" w:rsidR="00877582" w:rsidRDefault="00877582">
      <w:pPr>
        <w:rPr>
          <w:rFonts w:ascii="Calibri" w:eastAsia="Times New Roman" w:hAnsi="Calibri" w:cs="Calibri"/>
          <w:lang w:eastAsia="en-GB"/>
        </w:rPr>
      </w:pPr>
    </w:p>
    <w:p w14:paraId="35FDA0AE" w14:textId="52685292" w:rsidR="00860AD1" w:rsidRDefault="00860AD1">
      <w:pPr>
        <w:rPr>
          <w:rFonts w:ascii="Calibri" w:eastAsia="Times New Roman" w:hAnsi="Calibri" w:cs="Calibri"/>
          <w:lang w:eastAsia="en-GB"/>
        </w:rPr>
      </w:pPr>
    </w:p>
    <w:p w14:paraId="43B51AB6" w14:textId="171FAE85" w:rsidR="0055751D" w:rsidRPr="00AA29D0" w:rsidRDefault="0055751D" w:rsidP="00A67CEC"/>
    <w:sectPr w:rsidR="0055751D" w:rsidRPr="00AA29D0" w:rsidSect="00356066">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DB9F1" w14:textId="77777777" w:rsidR="002F472D" w:rsidRDefault="002F472D" w:rsidP="00356066">
      <w:r>
        <w:separator/>
      </w:r>
    </w:p>
  </w:endnote>
  <w:endnote w:type="continuationSeparator" w:id="0">
    <w:p w14:paraId="1D2689CD" w14:textId="77777777" w:rsidR="002F472D" w:rsidRDefault="002F472D" w:rsidP="00356066">
      <w:r>
        <w:continuationSeparator/>
      </w:r>
    </w:p>
  </w:endnote>
  <w:endnote w:type="continuationNotice" w:id="1">
    <w:p w14:paraId="7AA13C0A" w14:textId="77777777" w:rsidR="002F472D" w:rsidRDefault="002F4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0E9D3" w14:textId="77777777" w:rsidR="00BC0485" w:rsidRDefault="00BC0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40FD8" w14:textId="77777777" w:rsidR="00BC0485" w:rsidRDefault="00BC04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396B0" w14:textId="77777777" w:rsidR="00BC0485" w:rsidRDefault="00BC0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AA51B" w14:textId="77777777" w:rsidR="002F472D" w:rsidRDefault="002F472D" w:rsidP="00356066">
      <w:r>
        <w:separator/>
      </w:r>
    </w:p>
  </w:footnote>
  <w:footnote w:type="continuationSeparator" w:id="0">
    <w:p w14:paraId="56F1F4B0" w14:textId="77777777" w:rsidR="002F472D" w:rsidRDefault="002F472D" w:rsidP="00356066">
      <w:r>
        <w:continuationSeparator/>
      </w:r>
    </w:p>
  </w:footnote>
  <w:footnote w:type="continuationNotice" w:id="1">
    <w:p w14:paraId="3DD737A0" w14:textId="77777777" w:rsidR="002F472D" w:rsidRDefault="002F47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CFDB7" w14:textId="77777777" w:rsidR="00BC0485" w:rsidRDefault="00BC0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807366"/>
      <w:docPartObj>
        <w:docPartGallery w:val="Watermarks"/>
        <w:docPartUnique/>
      </w:docPartObj>
    </w:sdtPr>
    <w:sdtEndPr/>
    <w:sdtContent>
      <w:p w14:paraId="1E57B62B" w14:textId="281ABBE4" w:rsidR="00BC0485" w:rsidRDefault="002F472D">
        <w:pPr>
          <w:pStyle w:val="Header"/>
        </w:pPr>
        <w:r>
          <w:rPr>
            <w:noProof/>
          </w:rPr>
          <w:pict w14:anchorId="3A28B2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E40A5" w14:textId="77777777" w:rsidR="00BC0485" w:rsidRDefault="00BC0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2DA"/>
    <w:multiLevelType w:val="hybridMultilevel"/>
    <w:tmpl w:val="338CDD28"/>
    <w:lvl w:ilvl="0" w:tplc="0809000F">
      <w:start w:val="1"/>
      <w:numFmt w:val="decimal"/>
      <w:lvlText w:val="%1."/>
      <w:lvlJc w:val="left"/>
      <w:pPr>
        <w:ind w:left="720" w:hanging="360"/>
      </w:pPr>
      <w:rPr>
        <w:rFonts w:hint="default"/>
      </w:rPr>
    </w:lvl>
    <w:lvl w:ilvl="1" w:tplc="E85257AA">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A46367"/>
    <w:multiLevelType w:val="hybridMultilevel"/>
    <w:tmpl w:val="5CC8F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FFB3D95"/>
    <w:multiLevelType w:val="hybridMultilevel"/>
    <w:tmpl w:val="6F52F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AEC32EA"/>
    <w:multiLevelType w:val="hybridMultilevel"/>
    <w:tmpl w:val="4B42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14A366D-8FC1-4A48-875F-FF2A9E072FCD}"/>
    <w:docVar w:name="dgnword-eventsink" w:val="1601796332944"/>
  </w:docVars>
  <w:rsids>
    <w:rsidRoot w:val="001B7F6A"/>
    <w:rsid w:val="00005C19"/>
    <w:rsid w:val="00015CF8"/>
    <w:rsid w:val="0002179F"/>
    <w:rsid w:val="000259EC"/>
    <w:rsid w:val="00033710"/>
    <w:rsid w:val="00034E41"/>
    <w:rsid w:val="0003585F"/>
    <w:rsid w:val="000657DF"/>
    <w:rsid w:val="00075117"/>
    <w:rsid w:val="00080AD1"/>
    <w:rsid w:val="000848FF"/>
    <w:rsid w:val="00091310"/>
    <w:rsid w:val="000938D0"/>
    <w:rsid w:val="00097CEE"/>
    <w:rsid w:val="000B09F3"/>
    <w:rsid w:val="000C5797"/>
    <w:rsid w:val="000D07AD"/>
    <w:rsid w:val="000E4136"/>
    <w:rsid w:val="000F4254"/>
    <w:rsid w:val="000F6193"/>
    <w:rsid w:val="001025E5"/>
    <w:rsid w:val="00105030"/>
    <w:rsid w:val="00107E16"/>
    <w:rsid w:val="0011458D"/>
    <w:rsid w:val="0011610E"/>
    <w:rsid w:val="00121CF6"/>
    <w:rsid w:val="00144BEC"/>
    <w:rsid w:val="001546ED"/>
    <w:rsid w:val="001859EC"/>
    <w:rsid w:val="00190CE1"/>
    <w:rsid w:val="001A51A3"/>
    <w:rsid w:val="001B7B1C"/>
    <w:rsid w:val="001B7F6A"/>
    <w:rsid w:val="001D0038"/>
    <w:rsid w:val="001D07D9"/>
    <w:rsid w:val="001E665E"/>
    <w:rsid w:val="001F006D"/>
    <w:rsid w:val="001F03B4"/>
    <w:rsid w:val="001F23AB"/>
    <w:rsid w:val="001F5A3B"/>
    <w:rsid w:val="00217923"/>
    <w:rsid w:val="00232AEE"/>
    <w:rsid w:val="00262ABC"/>
    <w:rsid w:val="00262D12"/>
    <w:rsid w:val="002633FA"/>
    <w:rsid w:val="00273F2A"/>
    <w:rsid w:val="002813AC"/>
    <w:rsid w:val="0028604A"/>
    <w:rsid w:val="00297D88"/>
    <w:rsid w:val="002D094E"/>
    <w:rsid w:val="002D465C"/>
    <w:rsid w:val="002E098D"/>
    <w:rsid w:val="002E0F67"/>
    <w:rsid w:val="002E6A80"/>
    <w:rsid w:val="002F134A"/>
    <w:rsid w:val="002F2A8B"/>
    <w:rsid w:val="002F472D"/>
    <w:rsid w:val="00302C0D"/>
    <w:rsid w:val="00304D59"/>
    <w:rsid w:val="00306CE2"/>
    <w:rsid w:val="00312331"/>
    <w:rsid w:val="00322F9C"/>
    <w:rsid w:val="0032327E"/>
    <w:rsid w:val="003251D8"/>
    <w:rsid w:val="00331761"/>
    <w:rsid w:val="00340E08"/>
    <w:rsid w:val="00351B7F"/>
    <w:rsid w:val="00356066"/>
    <w:rsid w:val="0035696D"/>
    <w:rsid w:val="003646A1"/>
    <w:rsid w:val="00382BF6"/>
    <w:rsid w:val="00383502"/>
    <w:rsid w:val="00384C97"/>
    <w:rsid w:val="003907DE"/>
    <w:rsid w:val="003908AA"/>
    <w:rsid w:val="003958BC"/>
    <w:rsid w:val="003A56DC"/>
    <w:rsid w:val="003A6270"/>
    <w:rsid w:val="003D15BD"/>
    <w:rsid w:val="003D2D57"/>
    <w:rsid w:val="003E5213"/>
    <w:rsid w:val="003F5F06"/>
    <w:rsid w:val="003F72BD"/>
    <w:rsid w:val="003F7630"/>
    <w:rsid w:val="003F7CEA"/>
    <w:rsid w:val="00405A52"/>
    <w:rsid w:val="004149D2"/>
    <w:rsid w:val="0041694D"/>
    <w:rsid w:val="00422D40"/>
    <w:rsid w:val="00426C3F"/>
    <w:rsid w:val="00431755"/>
    <w:rsid w:val="00445EBD"/>
    <w:rsid w:val="004508CC"/>
    <w:rsid w:val="0045123F"/>
    <w:rsid w:val="004601FE"/>
    <w:rsid w:val="00460D6A"/>
    <w:rsid w:val="00460E2E"/>
    <w:rsid w:val="00463C7C"/>
    <w:rsid w:val="0047098B"/>
    <w:rsid w:val="00470B69"/>
    <w:rsid w:val="00471B4C"/>
    <w:rsid w:val="00480B3E"/>
    <w:rsid w:val="004830AC"/>
    <w:rsid w:val="00493B37"/>
    <w:rsid w:val="004A055D"/>
    <w:rsid w:val="004B55A1"/>
    <w:rsid w:val="004D5ED2"/>
    <w:rsid w:val="004E095A"/>
    <w:rsid w:val="00502969"/>
    <w:rsid w:val="00504292"/>
    <w:rsid w:val="00504D82"/>
    <w:rsid w:val="00505860"/>
    <w:rsid w:val="005161AE"/>
    <w:rsid w:val="00522B57"/>
    <w:rsid w:val="00531035"/>
    <w:rsid w:val="0053492F"/>
    <w:rsid w:val="00540CF4"/>
    <w:rsid w:val="00545309"/>
    <w:rsid w:val="0055751D"/>
    <w:rsid w:val="0056691E"/>
    <w:rsid w:val="005772B7"/>
    <w:rsid w:val="005776B0"/>
    <w:rsid w:val="0058126E"/>
    <w:rsid w:val="0059131D"/>
    <w:rsid w:val="00596AF2"/>
    <w:rsid w:val="005A6166"/>
    <w:rsid w:val="005C6BFE"/>
    <w:rsid w:val="005D1E60"/>
    <w:rsid w:val="005D687B"/>
    <w:rsid w:val="005E3FC7"/>
    <w:rsid w:val="005F629B"/>
    <w:rsid w:val="00610C3F"/>
    <w:rsid w:val="00631650"/>
    <w:rsid w:val="00635E83"/>
    <w:rsid w:val="00653958"/>
    <w:rsid w:val="00655609"/>
    <w:rsid w:val="00662646"/>
    <w:rsid w:val="006660B1"/>
    <w:rsid w:val="00674CAB"/>
    <w:rsid w:val="00675238"/>
    <w:rsid w:val="00686393"/>
    <w:rsid w:val="00690EB8"/>
    <w:rsid w:val="006A0390"/>
    <w:rsid w:val="006B0E76"/>
    <w:rsid w:val="006B4108"/>
    <w:rsid w:val="006B4947"/>
    <w:rsid w:val="006C609A"/>
    <w:rsid w:val="006D0CAE"/>
    <w:rsid w:val="006D5AE9"/>
    <w:rsid w:val="006E1F31"/>
    <w:rsid w:val="006E5AF6"/>
    <w:rsid w:val="00707160"/>
    <w:rsid w:val="00714543"/>
    <w:rsid w:val="0071654F"/>
    <w:rsid w:val="00717F74"/>
    <w:rsid w:val="007245DC"/>
    <w:rsid w:val="00740283"/>
    <w:rsid w:val="00744FB9"/>
    <w:rsid w:val="00752FCC"/>
    <w:rsid w:val="0075500D"/>
    <w:rsid w:val="00763730"/>
    <w:rsid w:val="00766758"/>
    <w:rsid w:val="0077356E"/>
    <w:rsid w:val="00775059"/>
    <w:rsid w:val="00784CF0"/>
    <w:rsid w:val="00787978"/>
    <w:rsid w:val="0079015B"/>
    <w:rsid w:val="00790A77"/>
    <w:rsid w:val="007949F7"/>
    <w:rsid w:val="00797996"/>
    <w:rsid w:val="007A6E35"/>
    <w:rsid w:val="007B38C6"/>
    <w:rsid w:val="007B6117"/>
    <w:rsid w:val="007C4138"/>
    <w:rsid w:val="007C5752"/>
    <w:rsid w:val="007C6226"/>
    <w:rsid w:val="007D030E"/>
    <w:rsid w:val="007E4F16"/>
    <w:rsid w:val="007F2DC5"/>
    <w:rsid w:val="008002C7"/>
    <w:rsid w:val="00800425"/>
    <w:rsid w:val="00801D0C"/>
    <w:rsid w:val="00805D5D"/>
    <w:rsid w:val="00813615"/>
    <w:rsid w:val="00822596"/>
    <w:rsid w:val="0082311B"/>
    <w:rsid w:val="0085414E"/>
    <w:rsid w:val="00860AD1"/>
    <w:rsid w:val="00863B95"/>
    <w:rsid w:val="008654BC"/>
    <w:rsid w:val="00866B61"/>
    <w:rsid w:val="00877582"/>
    <w:rsid w:val="0088045F"/>
    <w:rsid w:val="008809A1"/>
    <w:rsid w:val="00881BC7"/>
    <w:rsid w:val="00882D64"/>
    <w:rsid w:val="00884880"/>
    <w:rsid w:val="0089011A"/>
    <w:rsid w:val="00893A42"/>
    <w:rsid w:val="0089566A"/>
    <w:rsid w:val="008957C1"/>
    <w:rsid w:val="008A3429"/>
    <w:rsid w:val="008B0EB4"/>
    <w:rsid w:val="008B378F"/>
    <w:rsid w:val="008B5BA4"/>
    <w:rsid w:val="008C6961"/>
    <w:rsid w:val="008D1978"/>
    <w:rsid w:val="008D549C"/>
    <w:rsid w:val="008E470E"/>
    <w:rsid w:val="008E7A0B"/>
    <w:rsid w:val="008F1D90"/>
    <w:rsid w:val="008F5213"/>
    <w:rsid w:val="009051B5"/>
    <w:rsid w:val="00907940"/>
    <w:rsid w:val="0091005F"/>
    <w:rsid w:val="00914775"/>
    <w:rsid w:val="00914DE9"/>
    <w:rsid w:val="00915FDB"/>
    <w:rsid w:val="00921BBE"/>
    <w:rsid w:val="009309C0"/>
    <w:rsid w:val="00936380"/>
    <w:rsid w:val="0093787B"/>
    <w:rsid w:val="0094371B"/>
    <w:rsid w:val="0095362F"/>
    <w:rsid w:val="00960F00"/>
    <w:rsid w:val="00962FC0"/>
    <w:rsid w:val="00972D96"/>
    <w:rsid w:val="00983EA7"/>
    <w:rsid w:val="00990D07"/>
    <w:rsid w:val="009913A7"/>
    <w:rsid w:val="00991BD1"/>
    <w:rsid w:val="00994E53"/>
    <w:rsid w:val="009B0EAB"/>
    <w:rsid w:val="009B2F51"/>
    <w:rsid w:val="009B729F"/>
    <w:rsid w:val="009B7DB3"/>
    <w:rsid w:val="009C2962"/>
    <w:rsid w:val="009D04D2"/>
    <w:rsid w:val="009D09C1"/>
    <w:rsid w:val="009E0543"/>
    <w:rsid w:val="009E1165"/>
    <w:rsid w:val="009F0924"/>
    <w:rsid w:val="009F23F0"/>
    <w:rsid w:val="009F6CF7"/>
    <w:rsid w:val="00A33F25"/>
    <w:rsid w:val="00A44AAD"/>
    <w:rsid w:val="00A54745"/>
    <w:rsid w:val="00A56F21"/>
    <w:rsid w:val="00A61823"/>
    <w:rsid w:val="00A67CEC"/>
    <w:rsid w:val="00A72D55"/>
    <w:rsid w:val="00A77664"/>
    <w:rsid w:val="00A864AC"/>
    <w:rsid w:val="00A90F58"/>
    <w:rsid w:val="00A92D4F"/>
    <w:rsid w:val="00AA29D0"/>
    <w:rsid w:val="00AC4252"/>
    <w:rsid w:val="00AD374E"/>
    <w:rsid w:val="00AE0DD2"/>
    <w:rsid w:val="00B10E48"/>
    <w:rsid w:val="00B26A05"/>
    <w:rsid w:val="00B36822"/>
    <w:rsid w:val="00B37D83"/>
    <w:rsid w:val="00B43C10"/>
    <w:rsid w:val="00B44A6E"/>
    <w:rsid w:val="00B51D08"/>
    <w:rsid w:val="00B6710B"/>
    <w:rsid w:val="00B73E03"/>
    <w:rsid w:val="00B7682E"/>
    <w:rsid w:val="00B90A7C"/>
    <w:rsid w:val="00BA0C7E"/>
    <w:rsid w:val="00BA5C1D"/>
    <w:rsid w:val="00BA7BF5"/>
    <w:rsid w:val="00BB673C"/>
    <w:rsid w:val="00BB6AB8"/>
    <w:rsid w:val="00BB7376"/>
    <w:rsid w:val="00BC0485"/>
    <w:rsid w:val="00BC103C"/>
    <w:rsid w:val="00BC53CF"/>
    <w:rsid w:val="00BD3954"/>
    <w:rsid w:val="00BD71F9"/>
    <w:rsid w:val="00BE0AF5"/>
    <w:rsid w:val="00C048CB"/>
    <w:rsid w:val="00C20352"/>
    <w:rsid w:val="00C33519"/>
    <w:rsid w:val="00C36CAD"/>
    <w:rsid w:val="00C55019"/>
    <w:rsid w:val="00C61374"/>
    <w:rsid w:val="00C650EE"/>
    <w:rsid w:val="00C66F6E"/>
    <w:rsid w:val="00C736AA"/>
    <w:rsid w:val="00C746AE"/>
    <w:rsid w:val="00C82527"/>
    <w:rsid w:val="00C855DA"/>
    <w:rsid w:val="00C87C8C"/>
    <w:rsid w:val="00C90562"/>
    <w:rsid w:val="00CB2F29"/>
    <w:rsid w:val="00CC19BD"/>
    <w:rsid w:val="00CC4D1C"/>
    <w:rsid w:val="00CE7EB9"/>
    <w:rsid w:val="00CF1BD1"/>
    <w:rsid w:val="00CF2E52"/>
    <w:rsid w:val="00CF6B4D"/>
    <w:rsid w:val="00D0078A"/>
    <w:rsid w:val="00D00B77"/>
    <w:rsid w:val="00D47A08"/>
    <w:rsid w:val="00D51C5C"/>
    <w:rsid w:val="00D53952"/>
    <w:rsid w:val="00D57BB7"/>
    <w:rsid w:val="00D61C43"/>
    <w:rsid w:val="00D65F04"/>
    <w:rsid w:val="00D67AF0"/>
    <w:rsid w:val="00D76DEE"/>
    <w:rsid w:val="00D87138"/>
    <w:rsid w:val="00D92B82"/>
    <w:rsid w:val="00DD3DFA"/>
    <w:rsid w:val="00DE3F38"/>
    <w:rsid w:val="00DE660E"/>
    <w:rsid w:val="00DE6D5F"/>
    <w:rsid w:val="00E07049"/>
    <w:rsid w:val="00E07D61"/>
    <w:rsid w:val="00E12060"/>
    <w:rsid w:val="00E233F3"/>
    <w:rsid w:val="00E24039"/>
    <w:rsid w:val="00E2475A"/>
    <w:rsid w:val="00E2523F"/>
    <w:rsid w:val="00E25BDC"/>
    <w:rsid w:val="00E35EE8"/>
    <w:rsid w:val="00E36D0E"/>
    <w:rsid w:val="00E43347"/>
    <w:rsid w:val="00E465BA"/>
    <w:rsid w:val="00E52F6F"/>
    <w:rsid w:val="00E60ACC"/>
    <w:rsid w:val="00E66891"/>
    <w:rsid w:val="00E70924"/>
    <w:rsid w:val="00E74B3E"/>
    <w:rsid w:val="00E75165"/>
    <w:rsid w:val="00E8054C"/>
    <w:rsid w:val="00E852C7"/>
    <w:rsid w:val="00E85FE0"/>
    <w:rsid w:val="00E95172"/>
    <w:rsid w:val="00EB3FEF"/>
    <w:rsid w:val="00EC2584"/>
    <w:rsid w:val="00EC3D35"/>
    <w:rsid w:val="00ED2523"/>
    <w:rsid w:val="00ED4DB8"/>
    <w:rsid w:val="00EE0E40"/>
    <w:rsid w:val="00F01448"/>
    <w:rsid w:val="00F01490"/>
    <w:rsid w:val="00F02F1F"/>
    <w:rsid w:val="00F045E6"/>
    <w:rsid w:val="00F05C20"/>
    <w:rsid w:val="00F16D74"/>
    <w:rsid w:val="00F201BE"/>
    <w:rsid w:val="00F21F6E"/>
    <w:rsid w:val="00F2391F"/>
    <w:rsid w:val="00F239BA"/>
    <w:rsid w:val="00F23BD4"/>
    <w:rsid w:val="00F2699F"/>
    <w:rsid w:val="00F30950"/>
    <w:rsid w:val="00F34029"/>
    <w:rsid w:val="00F347BC"/>
    <w:rsid w:val="00F37615"/>
    <w:rsid w:val="00F400A6"/>
    <w:rsid w:val="00F45CD2"/>
    <w:rsid w:val="00F504D4"/>
    <w:rsid w:val="00F50C6E"/>
    <w:rsid w:val="00F5356D"/>
    <w:rsid w:val="00F54396"/>
    <w:rsid w:val="00F55CC4"/>
    <w:rsid w:val="00F63370"/>
    <w:rsid w:val="00F6428B"/>
    <w:rsid w:val="00F7056B"/>
    <w:rsid w:val="00F74F4E"/>
    <w:rsid w:val="00F7609F"/>
    <w:rsid w:val="00F84E0D"/>
    <w:rsid w:val="00F9167D"/>
    <w:rsid w:val="00F97EF6"/>
    <w:rsid w:val="00FA31A4"/>
    <w:rsid w:val="00FB1B32"/>
    <w:rsid w:val="00FB22D3"/>
    <w:rsid w:val="00FB31FD"/>
    <w:rsid w:val="00FC2879"/>
    <w:rsid w:val="00FC3473"/>
    <w:rsid w:val="00FD5E97"/>
    <w:rsid w:val="00FE5070"/>
    <w:rsid w:val="00FF3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17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B7F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F6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B7F6A"/>
    <w:rPr>
      <w:color w:val="0563C1" w:themeColor="hyperlink"/>
      <w:u w:val="single"/>
    </w:rPr>
  </w:style>
  <w:style w:type="paragraph" w:styleId="BalloonText">
    <w:name w:val="Balloon Text"/>
    <w:basedOn w:val="Normal"/>
    <w:link w:val="BalloonTextChar"/>
    <w:uiPriority w:val="99"/>
    <w:semiHidden/>
    <w:unhideWhenUsed/>
    <w:rsid w:val="00460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1FE"/>
    <w:rPr>
      <w:rFonts w:ascii="Segoe UI" w:hAnsi="Segoe UI" w:cs="Segoe UI"/>
      <w:sz w:val="18"/>
      <w:szCs w:val="18"/>
    </w:rPr>
  </w:style>
  <w:style w:type="character" w:customStyle="1" w:styleId="UnresolvedMention">
    <w:name w:val="Unresolved Mention"/>
    <w:basedOn w:val="DefaultParagraphFont"/>
    <w:uiPriority w:val="99"/>
    <w:semiHidden/>
    <w:unhideWhenUsed/>
    <w:rsid w:val="004601FE"/>
    <w:rPr>
      <w:color w:val="605E5C"/>
      <w:shd w:val="clear" w:color="auto" w:fill="E1DFDD"/>
    </w:rPr>
  </w:style>
  <w:style w:type="paragraph" w:styleId="Header">
    <w:name w:val="header"/>
    <w:basedOn w:val="Normal"/>
    <w:link w:val="HeaderChar"/>
    <w:uiPriority w:val="99"/>
    <w:unhideWhenUsed/>
    <w:rsid w:val="00356066"/>
    <w:pPr>
      <w:tabs>
        <w:tab w:val="center" w:pos="4513"/>
        <w:tab w:val="right" w:pos="9026"/>
      </w:tabs>
    </w:pPr>
  </w:style>
  <w:style w:type="character" w:customStyle="1" w:styleId="HeaderChar">
    <w:name w:val="Header Char"/>
    <w:basedOn w:val="DefaultParagraphFont"/>
    <w:link w:val="Header"/>
    <w:uiPriority w:val="99"/>
    <w:rsid w:val="00356066"/>
  </w:style>
  <w:style w:type="paragraph" w:styleId="Footer">
    <w:name w:val="footer"/>
    <w:basedOn w:val="Normal"/>
    <w:link w:val="FooterChar"/>
    <w:uiPriority w:val="99"/>
    <w:unhideWhenUsed/>
    <w:rsid w:val="00356066"/>
    <w:pPr>
      <w:tabs>
        <w:tab w:val="center" w:pos="4513"/>
        <w:tab w:val="right" w:pos="9026"/>
      </w:tabs>
    </w:pPr>
  </w:style>
  <w:style w:type="character" w:customStyle="1" w:styleId="FooterChar">
    <w:name w:val="Footer Char"/>
    <w:basedOn w:val="DefaultParagraphFont"/>
    <w:link w:val="Footer"/>
    <w:uiPriority w:val="99"/>
    <w:rsid w:val="00356066"/>
  </w:style>
  <w:style w:type="paragraph" w:styleId="ListParagraph">
    <w:name w:val="List Paragraph"/>
    <w:basedOn w:val="Normal"/>
    <w:uiPriority w:val="34"/>
    <w:qFormat/>
    <w:rsid w:val="001546ED"/>
    <w:pPr>
      <w:ind w:left="720"/>
      <w:contextualSpacing/>
    </w:pPr>
  </w:style>
  <w:style w:type="character" w:styleId="CommentReference">
    <w:name w:val="annotation reference"/>
    <w:basedOn w:val="DefaultParagraphFont"/>
    <w:uiPriority w:val="99"/>
    <w:semiHidden/>
    <w:unhideWhenUsed/>
    <w:rsid w:val="00F34029"/>
    <w:rPr>
      <w:sz w:val="16"/>
      <w:szCs w:val="16"/>
    </w:rPr>
  </w:style>
  <w:style w:type="paragraph" w:styleId="CommentText">
    <w:name w:val="annotation text"/>
    <w:basedOn w:val="Normal"/>
    <w:link w:val="CommentTextChar"/>
    <w:uiPriority w:val="99"/>
    <w:semiHidden/>
    <w:unhideWhenUsed/>
    <w:rsid w:val="00F34029"/>
    <w:rPr>
      <w:sz w:val="20"/>
      <w:szCs w:val="20"/>
    </w:rPr>
  </w:style>
  <w:style w:type="character" w:customStyle="1" w:styleId="CommentTextChar">
    <w:name w:val="Comment Text Char"/>
    <w:basedOn w:val="DefaultParagraphFont"/>
    <w:link w:val="CommentText"/>
    <w:uiPriority w:val="99"/>
    <w:semiHidden/>
    <w:rsid w:val="00F34029"/>
    <w:rPr>
      <w:sz w:val="20"/>
      <w:szCs w:val="20"/>
    </w:rPr>
  </w:style>
  <w:style w:type="paragraph" w:styleId="CommentSubject">
    <w:name w:val="annotation subject"/>
    <w:basedOn w:val="CommentText"/>
    <w:next w:val="CommentText"/>
    <w:link w:val="CommentSubjectChar"/>
    <w:uiPriority w:val="99"/>
    <w:semiHidden/>
    <w:unhideWhenUsed/>
    <w:rsid w:val="00F34029"/>
    <w:rPr>
      <w:b/>
      <w:bCs/>
    </w:rPr>
  </w:style>
  <w:style w:type="character" w:customStyle="1" w:styleId="CommentSubjectChar">
    <w:name w:val="Comment Subject Char"/>
    <w:basedOn w:val="CommentTextChar"/>
    <w:link w:val="CommentSubject"/>
    <w:uiPriority w:val="99"/>
    <w:semiHidden/>
    <w:rsid w:val="00F340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B7F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F6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B7F6A"/>
    <w:rPr>
      <w:color w:val="0563C1" w:themeColor="hyperlink"/>
      <w:u w:val="single"/>
    </w:rPr>
  </w:style>
  <w:style w:type="paragraph" w:styleId="BalloonText">
    <w:name w:val="Balloon Text"/>
    <w:basedOn w:val="Normal"/>
    <w:link w:val="BalloonTextChar"/>
    <w:uiPriority w:val="99"/>
    <w:semiHidden/>
    <w:unhideWhenUsed/>
    <w:rsid w:val="00460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1FE"/>
    <w:rPr>
      <w:rFonts w:ascii="Segoe UI" w:hAnsi="Segoe UI" w:cs="Segoe UI"/>
      <w:sz w:val="18"/>
      <w:szCs w:val="18"/>
    </w:rPr>
  </w:style>
  <w:style w:type="character" w:customStyle="1" w:styleId="UnresolvedMention">
    <w:name w:val="Unresolved Mention"/>
    <w:basedOn w:val="DefaultParagraphFont"/>
    <w:uiPriority w:val="99"/>
    <w:semiHidden/>
    <w:unhideWhenUsed/>
    <w:rsid w:val="004601FE"/>
    <w:rPr>
      <w:color w:val="605E5C"/>
      <w:shd w:val="clear" w:color="auto" w:fill="E1DFDD"/>
    </w:rPr>
  </w:style>
  <w:style w:type="paragraph" w:styleId="Header">
    <w:name w:val="header"/>
    <w:basedOn w:val="Normal"/>
    <w:link w:val="HeaderChar"/>
    <w:uiPriority w:val="99"/>
    <w:unhideWhenUsed/>
    <w:rsid w:val="00356066"/>
    <w:pPr>
      <w:tabs>
        <w:tab w:val="center" w:pos="4513"/>
        <w:tab w:val="right" w:pos="9026"/>
      </w:tabs>
    </w:pPr>
  </w:style>
  <w:style w:type="character" w:customStyle="1" w:styleId="HeaderChar">
    <w:name w:val="Header Char"/>
    <w:basedOn w:val="DefaultParagraphFont"/>
    <w:link w:val="Header"/>
    <w:uiPriority w:val="99"/>
    <w:rsid w:val="00356066"/>
  </w:style>
  <w:style w:type="paragraph" w:styleId="Footer">
    <w:name w:val="footer"/>
    <w:basedOn w:val="Normal"/>
    <w:link w:val="FooterChar"/>
    <w:uiPriority w:val="99"/>
    <w:unhideWhenUsed/>
    <w:rsid w:val="00356066"/>
    <w:pPr>
      <w:tabs>
        <w:tab w:val="center" w:pos="4513"/>
        <w:tab w:val="right" w:pos="9026"/>
      </w:tabs>
    </w:pPr>
  </w:style>
  <w:style w:type="character" w:customStyle="1" w:styleId="FooterChar">
    <w:name w:val="Footer Char"/>
    <w:basedOn w:val="DefaultParagraphFont"/>
    <w:link w:val="Footer"/>
    <w:uiPriority w:val="99"/>
    <w:rsid w:val="00356066"/>
  </w:style>
  <w:style w:type="paragraph" w:styleId="ListParagraph">
    <w:name w:val="List Paragraph"/>
    <w:basedOn w:val="Normal"/>
    <w:uiPriority w:val="34"/>
    <w:qFormat/>
    <w:rsid w:val="001546ED"/>
    <w:pPr>
      <w:ind w:left="720"/>
      <w:contextualSpacing/>
    </w:pPr>
  </w:style>
  <w:style w:type="character" w:styleId="CommentReference">
    <w:name w:val="annotation reference"/>
    <w:basedOn w:val="DefaultParagraphFont"/>
    <w:uiPriority w:val="99"/>
    <w:semiHidden/>
    <w:unhideWhenUsed/>
    <w:rsid w:val="00F34029"/>
    <w:rPr>
      <w:sz w:val="16"/>
      <w:szCs w:val="16"/>
    </w:rPr>
  </w:style>
  <w:style w:type="paragraph" w:styleId="CommentText">
    <w:name w:val="annotation text"/>
    <w:basedOn w:val="Normal"/>
    <w:link w:val="CommentTextChar"/>
    <w:uiPriority w:val="99"/>
    <w:semiHidden/>
    <w:unhideWhenUsed/>
    <w:rsid w:val="00F34029"/>
    <w:rPr>
      <w:sz w:val="20"/>
      <w:szCs w:val="20"/>
    </w:rPr>
  </w:style>
  <w:style w:type="character" w:customStyle="1" w:styleId="CommentTextChar">
    <w:name w:val="Comment Text Char"/>
    <w:basedOn w:val="DefaultParagraphFont"/>
    <w:link w:val="CommentText"/>
    <w:uiPriority w:val="99"/>
    <w:semiHidden/>
    <w:rsid w:val="00F34029"/>
    <w:rPr>
      <w:sz w:val="20"/>
      <w:szCs w:val="20"/>
    </w:rPr>
  </w:style>
  <w:style w:type="paragraph" w:styleId="CommentSubject">
    <w:name w:val="annotation subject"/>
    <w:basedOn w:val="CommentText"/>
    <w:next w:val="CommentText"/>
    <w:link w:val="CommentSubjectChar"/>
    <w:uiPriority w:val="99"/>
    <w:semiHidden/>
    <w:unhideWhenUsed/>
    <w:rsid w:val="00F34029"/>
    <w:rPr>
      <w:b/>
      <w:bCs/>
    </w:rPr>
  </w:style>
  <w:style w:type="character" w:customStyle="1" w:styleId="CommentSubjectChar">
    <w:name w:val="Comment Subject Char"/>
    <w:basedOn w:val="CommentTextChar"/>
    <w:link w:val="CommentSubject"/>
    <w:uiPriority w:val="99"/>
    <w:semiHidden/>
    <w:rsid w:val="00F340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7064">
      <w:bodyDiv w:val="1"/>
      <w:marLeft w:val="0"/>
      <w:marRight w:val="0"/>
      <w:marTop w:val="0"/>
      <w:marBottom w:val="0"/>
      <w:divBdr>
        <w:top w:val="none" w:sz="0" w:space="0" w:color="auto"/>
        <w:left w:val="none" w:sz="0" w:space="0" w:color="auto"/>
        <w:bottom w:val="none" w:sz="0" w:space="0" w:color="auto"/>
        <w:right w:val="none" w:sz="0" w:space="0" w:color="auto"/>
      </w:divBdr>
    </w:div>
    <w:div w:id="139986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england.nhs.uk/wp-content/uploads/2020/11/261120-item-5-integrating-care-next-steps-for-integrated-care-systems.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C4966AB795244A9350609ABE4F9B2F" ma:contentTypeVersion="12" ma:contentTypeDescription="Create a new document." ma:contentTypeScope="" ma:versionID="2397ad24147f9c663ff7d23385341850">
  <xsd:schema xmlns:xsd="http://www.w3.org/2001/XMLSchema" xmlns:xs="http://www.w3.org/2001/XMLSchema" xmlns:p="http://schemas.microsoft.com/office/2006/metadata/properties" xmlns:ns2="daddb3a1-04af-451e-a4d6-4b49356dc3de" xmlns:ns3="75849e05-f0d2-4313-af25-172e9fff2c54" targetNamespace="http://schemas.microsoft.com/office/2006/metadata/properties" ma:root="true" ma:fieldsID="699648a0b22ffc0e1c96b5c7a49e92df" ns2:_="" ns3:_="">
    <xsd:import namespace="daddb3a1-04af-451e-a4d6-4b49356dc3de"/>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db3a1-04af-451e-a4d6-4b49356dc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7932EF-71E3-48BF-AAD3-BE0052150289}">
  <ds:schemaRefs>
    <ds:schemaRef ds:uri="http://schemas.microsoft.com/sharepoint/v3/contenttype/forms"/>
  </ds:schemaRefs>
</ds:datastoreItem>
</file>

<file path=customXml/itemProps2.xml><?xml version="1.0" encoding="utf-8"?>
<ds:datastoreItem xmlns:ds="http://schemas.openxmlformats.org/officeDocument/2006/customXml" ds:itemID="{496FB981-6DD7-4685-9992-35D4460DF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db3a1-04af-451e-a4d6-4b49356dc3de"/>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9F90D-4A68-4714-83EC-5DF7E8B053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Links>
    <vt:vector size="18" baseType="variant">
      <vt:variant>
        <vt:i4>1900554</vt:i4>
      </vt:variant>
      <vt:variant>
        <vt:i4>6</vt:i4>
      </vt:variant>
      <vt:variant>
        <vt:i4>0</vt:i4>
      </vt:variant>
      <vt:variant>
        <vt:i4>5</vt:i4>
      </vt:variant>
      <vt:variant>
        <vt:lpwstr>https://www.bma.org.uk/advice-and-support/nhs-delivery-and-workforce/integration/integrated-care-systems-icss</vt:lpwstr>
      </vt:variant>
      <vt:variant>
        <vt:lpwstr/>
      </vt:variant>
      <vt:variant>
        <vt:i4>7602288</vt:i4>
      </vt:variant>
      <vt:variant>
        <vt:i4>3</vt:i4>
      </vt:variant>
      <vt:variant>
        <vt:i4>0</vt:i4>
      </vt:variant>
      <vt:variant>
        <vt:i4>5</vt:i4>
      </vt:variant>
      <vt:variant>
        <vt:lpwstr>https://www.bma.org.uk/advice-and-support/nhs-delivery-and-workforce/the-future/caring-supportive-collaborative-a-future-vision-for-the-nhs</vt:lpwstr>
      </vt:variant>
      <vt:variant>
        <vt:lpwstr/>
      </vt:variant>
      <vt:variant>
        <vt:i4>3342385</vt:i4>
      </vt:variant>
      <vt:variant>
        <vt:i4>0</vt:i4>
      </vt:variant>
      <vt:variant>
        <vt:i4>0</vt:i4>
      </vt:variant>
      <vt:variant>
        <vt:i4>5</vt:i4>
      </vt:variant>
      <vt:variant>
        <vt:lpwstr>https://www.england.nhs.uk/wp-content/uploads/2020/11/261120-item-5-integrating-care-next-steps-for-integrated-care-systems.pdf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Bramwell</dc:creator>
  <cp:lastModifiedBy>Tim</cp:lastModifiedBy>
  <cp:revision>2</cp:revision>
  <dcterms:created xsi:type="dcterms:W3CDTF">2020-12-23T11:16:00Z</dcterms:created>
  <dcterms:modified xsi:type="dcterms:W3CDTF">2020-12-23T11:16:00Z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0x01010057C4966AB795244A9350609ABE4F9B2F</vt:lpwstr>
  </property>
</Properties>
</file>