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A6E5" w14:textId="77777777" w:rsidR="00027F11" w:rsidRDefault="00D91986">
      <w:pPr>
        <w:pStyle w:val="BodyText"/>
        <w:ind w:left="3120"/>
        <w:rPr>
          <w:rFonts w:ascii="Times New Roman"/>
          <w:sz w:val="20"/>
        </w:rPr>
      </w:pPr>
      <w:bookmarkStart w:id="0" w:name="_GoBack"/>
      <w:bookmarkEnd w:id="0"/>
      <w:r>
        <w:rPr>
          <w:rFonts w:ascii="Times New Roman"/>
          <w:noProof/>
          <w:sz w:val="20"/>
          <w:lang w:bidi="ar-SA"/>
        </w:rPr>
        <w:drawing>
          <wp:inline distT="0" distB="0" distL="0" distR="0" wp14:anchorId="678BA733" wp14:editId="678BA734">
            <wp:extent cx="1897258" cy="13898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97258" cy="1389887"/>
                    </a:xfrm>
                    <a:prstGeom prst="rect">
                      <a:avLst/>
                    </a:prstGeom>
                  </pic:spPr>
                </pic:pic>
              </a:graphicData>
            </a:graphic>
          </wp:inline>
        </w:drawing>
      </w:r>
    </w:p>
    <w:p w14:paraId="678BA6E6" w14:textId="77777777" w:rsidR="00027F11" w:rsidRDefault="00027F11">
      <w:pPr>
        <w:pStyle w:val="BodyText"/>
        <w:rPr>
          <w:rFonts w:ascii="Times New Roman"/>
          <w:sz w:val="20"/>
        </w:rPr>
      </w:pPr>
    </w:p>
    <w:p w14:paraId="678BA6E7" w14:textId="77777777" w:rsidR="00027F11" w:rsidRDefault="00027F11">
      <w:pPr>
        <w:pStyle w:val="BodyText"/>
        <w:spacing w:before="10"/>
        <w:rPr>
          <w:rFonts w:ascii="Times New Roman"/>
          <w:sz w:val="25"/>
        </w:rPr>
      </w:pPr>
    </w:p>
    <w:p w14:paraId="678BA6E8" w14:textId="77777777" w:rsidR="00027F11" w:rsidRDefault="00D91986">
      <w:pPr>
        <w:pStyle w:val="Heading1"/>
        <w:spacing w:before="93" w:line="412" w:lineRule="auto"/>
        <w:ind w:left="2815" w:right="1866" w:hanging="231"/>
        <w:rPr>
          <w:u w:val="none"/>
        </w:rPr>
      </w:pPr>
      <w:r>
        <w:rPr>
          <w:u w:val="none"/>
        </w:rPr>
        <w:t>SUMMARY OF THE CORONAVIRUS ACT 2020 PROVISIONS RELEVANT TO CORONERS</w:t>
      </w:r>
    </w:p>
    <w:p w14:paraId="678BA6E9" w14:textId="77777777" w:rsidR="00027F11" w:rsidRDefault="00027F11">
      <w:pPr>
        <w:pStyle w:val="BodyText"/>
        <w:rPr>
          <w:b/>
          <w:sz w:val="24"/>
        </w:rPr>
      </w:pPr>
    </w:p>
    <w:p w14:paraId="678BA6EA" w14:textId="77777777" w:rsidR="00027F11" w:rsidRDefault="00027F11">
      <w:pPr>
        <w:pStyle w:val="BodyText"/>
        <w:rPr>
          <w:b/>
          <w:sz w:val="24"/>
        </w:rPr>
      </w:pPr>
    </w:p>
    <w:p w14:paraId="678BA6EB" w14:textId="77777777" w:rsidR="00027F11" w:rsidRDefault="00D91986">
      <w:pPr>
        <w:pStyle w:val="BodyText"/>
        <w:spacing w:before="153" w:line="249" w:lineRule="auto"/>
        <w:ind w:left="100" w:right="313"/>
        <w:rPr>
          <w:sz w:val="14"/>
        </w:rPr>
      </w:pPr>
      <w:r>
        <w:t>These are the essential things to know on MCCDs and cremation following implementation of relevant provisions in the Coronavirus Act 2020.</w:t>
      </w:r>
      <w:r>
        <w:rPr>
          <w:position w:val="8"/>
          <w:sz w:val="14"/>
        </w:rPr>
        <w:t>1</w:t>
      </w:r>
    </w:p>
    <w:p w14:paraId="678BA6EC" w14:textId="77777777" w:rsidR="00027F11" w:rsidRDefault="00D91986">
      <w:pPr>
        <w:pStyle w:val="BodyText"/>
        <w:spacing w:before="175" w:line="259" w:lineRule="auto"/>
        <w:ind w:left="100" w:right="129"/>
      </w:pPr>
      <w:r>
        <w:t>This is the Chief Coroner’s Office’s assessment of the legislative position. Coroners should also consult the underlying statutory provisions and any detailed published guidance from other organisations e.g. GRO, MOJ etc because there are more aspects of the new statutory position (and the practice that will accompany it) not dealt with here.</w:t>
      </w:r>
    </w:p>
    <w:p w14:paraId="678BA6ED" w14:textId="77777777" w:rsidR="00027F11" w:rsidRDefault="00027F11">
      <w:pPr>
        <w:pStyle w:val="BodyText"/>
        <w:rPr>
          <w:sz w:val="24"/>
        </w:rPr>
      </w:pPr>
    </w:p>
    <w:p w14:paraId="678BA6EE" w14:textId="77777777" w:rsidR="00027F11" w:rsidRDefault="00D91986">
      <w:pPr>
        <w:pStyle w:val="Heading1"/>
        <w:spacing w:before="153"/>
        <w:rPr>
          <w:u w:val="none"/>
        </w:rPr>
      </w:pPr>
      <w:commentRangeStart w:id="1"/>
      <w:r>
        <w:rPr>
          <w:u w:val="thick"/>
        </w:rPr>
        <w:t>MCCDs</w:t>
      </w:r>
      <w:commentRangeEnd w:id="1"/>
      <w:r w:rsidR="00140BCA">
        <w:rPr>
          <w:rStyle w:val="CommentReference"/>
          <w:b w:val="0"/>
          <w:bCs w:val="0"/>
          <w:u w:val="none"/>
        </w:rPr>
        <w:commentReference w:id="1"/>
      </w:r>
    </w:p>
    <w:p w14:paraId="678BA6EF" w14:textId="77777777" w:rsidR="00027F11" w:rsidRDefault="00D91986">
      <w:pPr>
        <w:pStyle w:val="BodyText"/>
        <w:spacing w:before="184" w:line="256" w:lineRule="auto"/>
        <w:ind w:left="100" w:right="263"/>
        <w:rPr>
          <w:sz w:val="14"/>
        </w:rPr>
      </w:pPr>
      <w:r>
        <w:t>Signing and attendance are effectively decoupled, but with safeguards</w:t>
      </w:r>
      <w:r w:rsidRPr="009747C3">
        <w:rPr>
          <w:highlight w:val="yellow"/>
        </w:rPr>
        <w:t>. Any registered medical practitioner can sign an MCCD, even if the deceased was not attended during their last illness and not seen after death, provided that they are able to state the cause of death to the best of their knowledge and</w:t>
      </w:r>
      <w:r w:rsidRPr="009747C3">
        <w:rPr>
          <w:spacing w:val="-7"/>
          <w:highlight w:val="yellow"/>
        </w:rPr>
        <w:t xml:space="preserve"> </w:t>
      </w:r>
      <w:r w:rsidRPr="009747C3">
        <w:rPr>
          <w:highlight w:val="yellow"/>
        </w:rPr>
        <w:t>belief.</w:t>
      </w:r>
      <w:r w:rsidRPr="009747C3">
        <w:rPr>
          <w:position w:val="8"/>
          <w:sz w:val="14"/>
          <w:highlight w:val="yellow"/>
        </w:rPr>
        <w:t>2</w:t>
      </w:r>
    </w:p>
    <w:p w14:paraId="678BA6F0" w14:textId="77777777" w:rsidR="00027F11" w:rsidRDefault="00027F11">
      <w:pPr>
        <w:pStyle w:val="BodyText"/>
        <w:spacing w:before="1"/>
        <w:rPr>
          <w:sz w:val="24"/>
        </w:rPr>
      </w:pPr>
    </w:p>
    <w:p w14:paraId="678BA6F1" w14:textId="77777777" w:rsidR="00027F11" w:rsidRDefault="00D91986">
      <w:pPr>
        <w:pStyle w:val="BodyText"/>
        <w:spacing w:line="254" w:lineRule="auto"/>
        <w:ind w:left="100" w:right="129"/>
      </w:pPr>
      <w:r>
        <w:t xml:space="preserve">Once that MCCD reaches the registrar there are </w:t>
      </w:r>
      <w:r>
        <w:rPr>
          <w:spacing w:val="-2"/>
        </w:rPr>
        <w:t xml:space="preserve">two </w:t>
      </w:r>
      <w:r>
        <w:t>possibilities depending on whether the deceased was seen before or after</w:t>
      </w:r>
      <w:r>
        <w:rPr>
          <w:spacing w:val="1"/>
        </w:rPr>
        <w:t xml:space="preserve"> </w:t>
      </w:r>
      <w:r>
        <w:t>death.</w:t>
      </w:r>
    </w:p>
    <w:p w14:paraId="678BA6F2" w14:textId="77777777" w:rsidR="00027F11" w:rsidRDefault="00D91986">
      <w:pPr>
        <w:pStyle w:val="BodyText"/>
        <w:spacing w:before="170" w:line="254" w:lineRule="auto"/>
        <w:ind w:left="100" w:right="386"/>
      </w:pPr>
      <w:r>
        <w:t xml:space="preserve">First, if a medical practitioner (who does </w:t>
      </w:r>
      <w:r>
        <w:rPr>
          <w:u w:val="single"/>
        </w:rPr>
        <w:t>not</w:t>
      </w:r>
      <w:r>
        <w:t xml:space="preserve"> have to be the same medical practitioner who signed the MCCD) attended the deceased within 28 days before death (a new, longer timescale)</w:t>
      </w:r>
      <w:r>
        <w:rPr>
          <w:position w:val="8"/>
          <w:sz w:val="14"/>
        </w:rPr>
        <w:t xml:space="preserve">3 </w:t>
      </w:r>
      <w:r>
        <w:t>or after death, then the registrar can register the death in the normal way.</w:t>
      </w:r>
    </w:p>
    <w:p w14:paraId="678BA6F3" w14:textId="77777777" w:rsidR="00027F11" w:rsidRDefault="00D91986">
      <w:pPr>
        <w:pStyle w:val="BodyText"/>
        <w:spacing w:before="170" w:line="252" w:lineRule="auto"/>
        <w:ind w:left="100" w:right="313"/>
      </w:pPr>
      <w:r>
        <w:t xml:space="preserve">Second, if there was no attendance either within 28 days before death </w:t>
      </w:r>
      <w:r>
        <w:rPr>
          <w:u w:val="single"/>
        </w:rPr>
        <w:t>or</w:t>
      </w:r>
      <w:r>
        <w:t xml:space="preserve"> after death, then </w:t>
      </w:r>
      <w:r w:rsidRPr="00BC48E6">
        <w:rPr>
          <w:highlight w:val="yellow"/>
        </w:rPr>
        <w:t>the registrar would need to refer that to the coroner</w:t>
      </w:r>
      <w:r>
        <w:t>.</w:t>
      </w:r>
      <w:r>
        <w:rPr>
          <w:position w:val="8"/>
          <w:sz w:val="14"/>
        </w:rPr>
        <w:t xml:space="preserve">4 </w:t>
      </w:r>
      <w:r>
        <w:t>This is a safeguard parliament put in</w:t>
      </w:r>
    </w:p>
    <w:p w14:paraId="678BA6F4" w14:textId="7C4C6245" w:rsidR="00027F11" w:rsidRDefault="00A66099">
      <w:pPr>
        <w:pStyle w:val="BodyText"/>
        <w:spacing w:before="2"/>
        <w:rPr>
          <w:sz w:val="13"/>
        </w:rPr>
      </w:pPr>
      <w:r>
        <w:rPr>
          <w:noProof/>
          <w:lang w:bidi="ar-SA"/>
        </w:rPr>
        <mc:AlternateContent>
          <mc:Choice Requires="wps">
            <w:drawing>
              <wp:anchor distT="0" distB="0" distL="0" distR="0" simplePos="0" relativeHeight="251658240" behindDoc="1" locked="0" layoutInCell="1" allowOverlap="1" wp14:anchorId="678BA735" wp14:editId="3EE1ECF6">
                <wp:simplePos x="0" y="0"/>
                <wp:positionH relativeFrom="page">
                  <wp:posOffset>914400</wp:posOffset>
                </wp:positionH>
                <wp:positionV relativeFrom="paragraph">
                  <wp:posOffset>126365</wp:posOffset>
                </wp:positionV>
                <wp:extent cx="1829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in;margin-top:9.9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" path="m,l2881,e" filled="f" strokeweight=".72pt">
                <v:path arrowok="t" o:connecttype="custom" o:connectlocs="0,0;1829435,0" o:connectangles="0,0"/>
                <w10:wrap type="topAndBottom" anchorx="page"/>
              </v:shape>
            </w:pict>
          </mc:Fallback>
        </mc:AlternateContent>
      </w:r>
    </w:p>
    <w:p w14:paraId="678BA6F5" w14:textId="77777777" w:rsidR="00027F11" w:rsidRDefault="00D91986">
      <w:pPr>
        <w:spacing w:before="67"/>
        <w:ind w:left="100"/>
        <w:rPr>
          <w:rFonts w:ascii="Calibri"/>
          <w:sz w:val="20"/>
        </w:rPr>
      </w:pPr>
      <w:r>
        <w:rPr>
          <w:rFonts w:ascii="Calibri"/>
          <w:position w:val="7"/>
          <w:sz w:val="13"/>
        </w:rPr>
        <w:t xml:space="preserve">1 </w:t>
      </w:r>
      <w:hyperlink r:id="rId10">
        <w:r>
          <w:rPr>
            <w:rFonts w:ascii="Calibri"/>
            <w:color w:val="0462C1"/>
            <w:sz w:val="20"/>
            <w:u w:val="single" w:color="0462C1"/>
          </w:rPr>
          <w:t>http://www.legislation.gov.uk/ukpga/2020/7/contents/enacted</w:t>
        </w:r>
      </w:hyperlink>
    </w:p>
    <w:p w14:paraId="678BA6F6" w14:textId="77777777" w:rsidR="00027F11" w:rsidRDefault="00D91986">
      <w:pPr>
        <w:spacing w:before="177" w:line="259" w:lineRule="auto"/>
        <w:ind w:left="100" w:right="108"/>
        <w:rPr>
          <w:rFonts w:ascii="Calibri"/>
          <w:sz w:val="20"/>
        </w:rPr>
      </w:pPr>
      <w:r>
        <w:rPr>
          <w:rFonts w:ascii="Calibri"/>
          <w:position w:val="7"/>
          <w:sz w:val="13"/>
        </w:rPr>
        <w:t xml:space="preserve">2 </w:t>
      </w:r>
      <w:r>
        <w:rPr>
          <w:rFonts w:ascii="Calibri"/>
          <w:sz w:val="20"/>
        </w:rPr>
        <w:t xml:space="preserve">If the deceased </w:t>
      </w:r>
      <w:r>
        <w:rPr>
          <w:rFonts w:ascii="Calibri"/>
          <w:sz w:val="20"/>
          <w:u w:val="single"/>
        </w:rPr>
        <w:t>was</w:t>
      </w:r>
      <w:r>
        <w:rPr>
          <w:rFonts w:ascii="Calibri"/>
          <w:sz w:val="20"/>
        </w:rPr>
        <w:t xml:space="preserve"> attended by a registered medical practitioner, if that practitioner is unable to sign the MCCD or it is impractical for that practitioner to do so, another medical practitioner can sign (Schedule 13, Part 1, paragraph 4(2)(a) Coronavirus Act</w:t>
      </w:r>
      <w:r>
        <w:rPr>
          <w:rFonts w:ascii="Calibri"/>
          <w:spacing w:val="-3"/>
          <w:sz w:val="20"/>
        </w:rPr>
        <w:t xml:space="preserve"> </w:t>
      </w:r>
      <w:r>
        <w:rPr>
          <w:rFonts w:ascii="Calibri"/>
          <w:sz w:val="20"/>
        </w:rPr>
        <w:t>2020).</w:t>
      </w:r>
    </w:p>
    <w:p w14:paraId="678BA6F7" w14:textId="77777777" w:rsidR="00027F11" w:rsidRDefault="00D91986">
      <w:pPr>
        <w:spacing w:before="156" w:line="256" w:lineRule="auto"/>
        <w:ind w:left="100" w:right="129"/>
        <w:rPr>
          <w:rFonts w:ascii="Calibri"/>
          <w:sz w:val="20"/>
        </w:rPr>
      </w:pPr>
      <w:r>
        <w:rPr>
          <w:rFonts w:ascii="Calibri"/>
          <w:position w:val="7"/>
          <w:sz w:val="13"/>
        </w:rPr>
        <w:t xml:space="preserve">3 </w:t>
      </w:r>
      <w:r>
        <w:rPr>
          <w:rFonts w:ascii="Calibri"/>
          <w:sz w:val="20"/>
        </w:rPr>
        <w:t>The Registration of Births and Deaths Regulations 1987 (SI 1987/2088) Reg 41(b)(ii) as amended by Sched 13, Part 1, para (6)(3)(b) Coronavirus Act</w:t>
      </w:r>
      <w:r>
        <w:rPr>
          <w:rFonts w:ascii="Calibri"/>
          <w:spacing w:val="-3"/>
          <w:sz w:val="20"/>
        </w:rPr>
        <w:t xml:space="preserve"> </w:t>
      </w:r>
      <w:r>
        <w:rPr>
          <w:rFonts w:ascii="Calibri"/>
          <w:sz w:val="20"/>
        </w:rPr>
        <w:t>2020.</w:t>
      </w:r>
    </w:p>
    <w:p w14:paraId="678BA6F8" w14:textId="77777777" w:rsidR="00027F11" w:rsidRDefault="00D91986">
      <w:pPr>
        <w:spacing w:before="163" w:line="259" w:lineRule="auto"/>
        <w:ind w:left="100" w:right="129"/>
        <w:rPr>
          <w:rFonts w:ascii="Calibri"/>
          <w:sz w:val="20"/>
        </w:rPr>
      </w:pPr>
      <w:r>
        <w:rPr>
          <w:rFonts w:ascii="Calibri"/>
          <w:position w:val="7"/>
          <w:sz w:val="13"/>
        </w:rPr>
        <w:t xml:space="preserve">4 </w:t>
      </w:r>
      <w:r>
        <w:rPr>
          <w:rFonts w:ascii="Calibri"/>
          <w:sz w:val="20"/>
        </w:rPr>
        <w:t>Sched 13, Part 1, para 4(6) Coronavirus Act 2020 disapplies the normal duty on the registrar to report a death to the coroner when the deceased was not attended by a medical practitioner during their last illness (Reg 41(1)(a) of the 1987 Regulations). However, Reg 41(1)(b)(ii) (as modified by the Coronavirus Act) remains in</w:t>
      </w:r>
    </w:p>
    <w:p w14:paraId="678BA6F9" w14:textId="77777777" w:rsidR="00027F11" w:rsidRDefault="00027F11">
      <w:pPr>
        <w:spacing w:line="259" w:lineRule="auto"/>
        <w:rPr>
          <w:rFonts w:ascii="Calibri"/>
          <w:sz w:val="20"/>
        </w:rPr>
        <w:sectPr w:rsidR="00027F11">
          <w:footerReference w:type="default" r:id="rId11"/>
          <w:type w:val="continuous"/>
          <w:pgSz w:w="11910" w:h="16840"/>
          <w:pgMar w:top="1420" w:right="1320" w:bottom="1540" w:left="1340" w:header="720" w:footer="1348" w:gutter="0"/>
          <w:pgNumType w:start="1"/>
          <w:cols w:space="720"/>
        </w:sectPr>
      </w:pPr>
    </w:p>
    <w:p w14:paraId="678BA6FA" w14:textId="77777777" w:rsidR="00027F11" w:rsidRDefault="00D91986">
      <w:pPr>
        <w:pStyle w:val="BodyText"/>
        <w:spacing w:before="64" w:line="259" w:lineRule="auto"/>
        <w:ind w:left="100" w:right="459"/>
      </w:pPr>
      <w:r>
        <w:lastRenderedPageBreak/>
        <w:t>place to ensure that MCCDs are not issued without any recent medical practitioner attendance prior to or after death or without any other form of oversight (in this case, by a coroner).</w:t>
      </w:r>
    </w:p>
    <w:p w14:paraId="678BA6FB" w14:textId="77777777" w:rsidR="00027F11" w:rsidRDefault="00D91986">
      <w:pPr>
        <w:pStyle w:val="BodyText"/>
        <w:spacing w:before="160" w:line="259" w:lineRule="auto"/>
        <w:ind w:left="100" w:right="313"/>
      </w:pPr>
      <w:r>
        <w:t>The coroner could cover the second scenario with a Form 100A if they decided it was appropriate to do so. In practice, it may be that the signing medical practitioner and the coroner are in communication before the MCCD reaches the registrar. Either way the outcome would be the same upon issue of the 100A.</w:t>
      </w:r>
    </w:p>
    <w:p w14:paraId="678BA6FC" w14:textId="77777777" w:rsidR="00027F11" w:rsidRDefault="00D91986">
      <w:pPr>
        <w:pStyle w:val="BodyText"/>
        <w:spacing w:before="160" w:line="256" w:lineRule="auto"/>
        <w:ind w:left="100" w:right="129"/>
      </w:pPr>
      <w:r>
        <w:t xml:space="preserve">The </w:t>
      </w:r>
      <w:commentRangeStart w:id="2"/>
      <w:r>
        <w:t xml:space="preserve">General Register Office position </w:t>
      </w:r>
      <w:commentRangeEnd w:id="2"/>
      <w:r w:rsidR="00277191">
        <w:rPr>
          <w:rStyle w:val="CommentReference"/>
        </w:rPr>
        <w:commentReference w:id="2"/>
      </w:r>
      <w:r>
        <w:t xml:space="preserve">is that </w:t>
      </w:r>
      <w:commentRangeStart w:id="3"/>
      <w:r>
        <w:t xml:space="preserve">attendance </w:t>
      </w:r>
      <w:commentRangeEnd w:id="3"/>
      <w:r w:rsidR="005026AE">
        <w:rPr>
          <w:rStyle w:val="CommentReference"/>
        </w:rPr>
        <w:commentReference w:id="3"/>
      </w:r>
      <w:r>
        <w:t>before death can be visual (i.e. in person) or by video (e.g. Skype), but cannot be audio (i.e. telephone) only. Attendance after death must be in person.</w:t>
      </w:r>
    </w:p>
    <w:p w14:paraId="678BA6FD" w14:textId="77777777" w:rsidR="00027F11" w:rsidRDefault="00D91986">
      <w:pPr>
        <w:pStyle w:val="BodyText"/>
        <w:spacing w:before="167" w:line="254" w:lineRule="auto"/>
        <w:ind w:left="100" w:right="325"/>
      </w:pPr>
      <w:r>
        <w:t>Clearly, some form of attendance would be ideal since it will reduce natural cause referrals to the coroner.</w:t>
      </w:r>
    </w:p>
    <w:p w14:paraId="678BA6FE" w14:textId="77777777" w:rsidR="00027F11" w:rsidRDefault="00027F11">
      <w:pPr>
        <w:pStyle w:val="BodyText"/>
        <w:rPr>
          <w:sz w:val="24"/>
        </w:rPr>
      </w:pPr>
    </w:p>
    <w:p w14:paraId="678BA6FF" w14:textId="77777777" w:rsidR="00027F11" w:rsidRDefault="00027F11">
      <w:pPr>
        <w:pStyle w:val="BodyText"/>
        <w:spacing w:before="1"/>
        <w:rPr>
          <w:sz w:val="28"/>
        </w:rPr>
      </w:pPr>
    </w:p>
    <w:p w14:paraId="678BA700" w14:textId="77777777" w:rsidR="00027F11" w:rsidRDefault="00D91986">
      <w:pPr>
        <w:pStyle w:val="Heading1"/>
        <w:rPr>
          <w:u w:val="none"/>
        </w:rPr>
      </w:pPr>
      <w:r>
        <w:rPr>
          <w:u w:val="thick"/>
        </w:rPr>
        <w:t>Medical practitioners’ duty to notify coroners</w:t>
      </w:r>
    </w:p>
    <w:p w14:paraId="678BA701" w14:textId="77777777" w:rsidR="00027F11" w:rsidRDefault="00D91986">
      <w:pPr>
        <w:pStyle w:val="BodyText"/>
        <w:spacing w:before="184" w:line="254" w:lineRule="auto"/>
        <w:ind w:left="100" w:right="422"/>
      </w:pPr>
      <w:r>
        <w:t>The Notification of Deaths Regulations 2019 provide that a registered medical practitioner must notify the coroner where:</w:t>
      </w:r>
    </w:p>
    <w:p w14:paraId="678BA702" w14:textId="77777777" w:rsidR="00027F11" w:rsidRDefault="00D91986">
      <w:pPr>
        <w:pStyle w:val="ListParagraph"/>
        <w:numPr>
          <w:ilvl w:val="0"/>
          <w:numId w:val="1"/>
        </w:numPr>
        <w:tabs>
          <w:tab w:val="left" w:pos="1540"/>
          <w:tab w:val="left" w:pos="1541"/>
        </w:tabs>
        <w:spacing w:before="169" w:line="254" w:lineRule="auto"/>
        <w:ind w:right="902"/>
      </w:pPr>
      <w:r>
        <w:t>it is reasonably believed that there is no attending medical practitioner required to sign the MCCD (Reg 3(1)(e));</w:t>
      </w:r>
      <w:r>
        <w:rPr>
          <w:spacing w:val="-5"/>
        </w:rPr>
        <w:t xml:space="preserve"> </w:t>
      </w:r>
      <w:r>
        <w:t>or</w:t>
      </w:r>
    </w:p>
    <w:p w14:paraId="678BA703" w14:textId="77777777" w:rsidR="00027F11" w:rsidRDefault="00D91986">
      <w:pPr>
        <w:pStyle w:val="ListParagraph"/>
        <w:numPr>
          <w:ilvl w:val="0"/>
          <w:numId w:val="1"/>
        </w:numPr>
        <w:tabs>
          <w:tab w:val="left" w:pos="1540"/>
          <w:tab w:val="left" w:pos="1541"/>
        </w:tabs>
        <w:spacing w:line="256" w:lineRule="auto"/>
      </w:pPr>
      <w:r>
        <w:t>it is reasonably believed that the attending medical practitioner required to sign the MCCD is not available to do so within a reasonable time of the person’s death (Reg</w:t>
      </w:r>
      <w:r>
        <w:rPr>
          <w:spacing w:val="-1"/>
        </w:rPr>
        <w:t xml:space="preserve"> </w:t>
      </w:r>
      <w:r>
        <w:t>3(1)(f)).</w:t>
      </w:r>
    </w:p>
    <w:p w14:paraId="678BA704" w14:textId="77777777" w:rsidR="00027F11" w:rsidRDefault="00D91986">
      <w:pPr>
        <w:pStyle w:val="BodyText"/>
        <w:spacing w:before="165" w:line="256" w:lineRule="auto"/>
        <w:ind w:left="100" w:right="300"/>
        <w:rPr>
          <w:sz w:val="14"/>
        </w:rPr>
      </w:pPr>
      <w:r>
        <w:t xml:space="preserve">The emergency legislation disapplies this requirement because, as set out above, the medical practitioner who signs the MCCD does not need to have attended. The duty on a medical practitioner to notify the coroner only applies during the emergency period where it is reasonably believed that there is </w:t>
      </w:r>
      <w:r>
        <w:rPr>
          <w:u w:val="single"/>
        </w:rPr>
        <w:t>no</w:t>
      </w:r>
      <w:r>
        <w:t xml:space="preserve"> other medical practitioner who may sign the MCCD (or that such a medical practitioner is not available within a reasonable time of the person’s death to do so).</w:t>
      </w:r>
      <w:r>
        <w:rPr>
          <w:position w:val="8"/>
          <w:sz w:val="14"/>
        </w:rPr>
        <w:t>5</w:t>
      </w:r>
    </w:p>
    <w:p w14:paraId="678BA705" w14:textId="77777777" w:rsidR="00027F11" w:rsidRDefault="00027F11">
      <w:pPr>
        <w:pStyle w:val="BodyText"/>
        <w:rPr>
          <w:sz w:val="24"/>
        </w:rPr>
      </w:pPr>
    </w:p>
    <w:p w14:paraId="678BA706" w14:textId="77777777" w:rsidR="00027F11" w:rsidRDefault="00027F11">
      <w:pPr>
        <w:pStyle w:val="BodyText"/>
        <w:spacing w:before="4"/>
        <w:rPr>
          <w:sz w:val="26"/>
        </w:rPr>
      </w:pPr>
    </w:p>
    <w:p w14:paraId="678BA707" w14:textId="77777777" w:rsidR="00027F11" w:rsidRDefault="00D91986">
      <w:pPr>
        <w:pStyle w:val="Heading1"/>
        <w:rPr>
          <w:u w:val="none"/>
        </w:rPr>
      </w:pPr>
      <w:r>
        <w:rPr>
          <w:u w:val="thick"/>
        </w:rPr>
        <w:t>Cremation</w:t>
      </w:r>
    </w:p>
    <w:p w14:paraId="678BA708" w14:textId="77777777" w:rsidR="00027F11" w:rsidRDefault="00D91986">
      <w:pPr>
        <w:pStyle w:val="BodyText"/>
        <w:spacing w:before="157" w:line="237" w:lineRule="auto"/>
        <w:ind w:left="100" w:right="485"/>
        <w:rPr>
          <w:sz w:val="14"/>
        </w:rPr>
      </w:pPr>
      <w:r>
        <w:t>The requirement for a confirmatory certificate (Cremation Form 5) is suspended. There is only a requirement for one medical certificate (Cremation Form 4).</w:t>
      </w:r>
      <w:r>
        <w:rPr>
          <w:position w:val="8"/>
          <w:sz w:val="14"/>
        </w:rPr>
        <w:t>6</w:t>
      </w:r>
    </w:p>
    <w:p w14:paraId="678BA709" w14:textId="77777777" w:rsidR="00027F11" w:rsidRDefault="00D91986">
      <w:pPr>
        <w:pStyle w:val="BodyText"/>
        <w:spacing w:before="157" w:line="237" w:lineRule="auto"/>
        <w:ind w:left="100" w:right="203"/>
      </w:pPr>
      <w:r w:rsidRPr="00B61E76">
        <w:rPr>
          <w:highlight w:val="yellow"/>
          <w:u w:val="single"/>
        </w:rPr>
        <w:t>Any</w:t>
      </w:r>
      <w:r w:rsidRPr="00B61E76">
        <w:rPr>
          <w:highlight w:val="yellow"/>
        </w:rPr>
        <w:t xml:space="preserve"> medical practitioner can complete Cremation Form 4. They do not have to have seen the deceased.</w:t>
      </w:r>
      <w:r>
        <w:t xml:space="preserve"> However, </w:t>
      </w:r>
      <w:r>
        <w:rPr>
          <w:u w:val="single"/>
        </w:rPr>
        <w:t>a</w:t>
      </w:r>
      <w:r>
        <w:t xml:space="preserve"> medical practitioner (not necessarily the medical practitioner who signs the Cremation Form 4)</w:t>
      </w:r>
      <w:r>
        <w:rPr>
          <w:position w:val="8"/>
          <w:sz w:val="14"/>
        </w:rPr>
        <w:t xml:space="preserve">7 </w:t>
      </w:r>
      <w:r>
        <w:rPr>
          <w:u w:val="single"/>
        </w:rPr>
        <w:t>should</w:t>
      </w:r>
      <w:r>
        <w:t xml:space="preserve"> have attended the deceased (including</w:t>
      </w:r>
    </w:p>
    <w:p w14:paraId="678BA70A" w14:textId="77777777" w:rsidR="00027F11" w:rsidRDefault="00027F11">
      <w:pPr>
        <w:pStyle w:val="BodyText"/>
        <w:rPr>
          <w:sz w:val="20"/>
        </w:rPr>
      </w:pPr>
    </w:p>
    <w:p w14:paraId="678BA70B" w14:textId="6562B9D2" w:rsidR="00027F11" w:rsidRDefault="00A66099">
      <w:pPr>
        <w:pStyle w:val="BodyText"/>
        <w:spacing w:before="10"/>
        <w:rPr>
          <w:sz w:val="17"/>
        </w:rPr>
      </w:pPr>
      <w:r>
        <w:rPr>
          <w:noProof/>
          <w:lang w:bidi="ar-SA"/>
        </w:rPr>
        <mc:AlternateContent>
          <mc:Choice Requires="wps">
            <w:drawing>
              <wp:anchor distT="0" distB="0" distL="0" distR="0" simplePos="0" relativeHeight="251659264" behindDoc="1" locked="0" layoutInCell="1" allowOverlap="1" wp14:anchorId="678BA736" wp14:editId="087AAD9B">
                <wp:simplePos x="0" y="0"/>
                <wp:positionH relativeFrom="page">
                  <wp:posOffset>914400</wp:posOffset>
                </wp:positionH>
                <wp:positionV relativeFrom="paragraph">
                  <wp:posOffset>160655</wp:posOffset>
                </wp:positionV>
                <wp:extent cx="573341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1270"/>
                        </a:xfrm>
                        <a:custGeom>
                          <a:avLst/>
                          <a:gdLst>
                            <a:gd name="T0" fmla="+- 0 1440 1440"/>
                            <a:gd name="T1" fmla="*/ T0 w 9029"/>
                            <a:gd name="T2" fmla="+- 0 10469 1440"/>
                            <a:gd name="T3" fmla="*/ T2 w 9029"/>
                          </a:gdLst>
                          <a:ahLst/>
                          <a:cxnLst>
                            <a:cxn ang="0">
                              <a:pos x="T1" y="0"/>
                            </a:cxn>
                            <a:cxn ang="0">
                              <a:pos x="T3" y="0"/>
                            </a:cxn>
                          </a:cxnLst>
                          <a:rect l="0" t="0" r="r" b="b"/>
                          <a:pathLst>
                            <a:path w="9029">
                              <a:moveTo>
                                <a:pt x="0" y="0"/>
                              </a:moveTo>
                              <a:lnTo>
                                <a:pt x="90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in;margin-top:12.65pt;width:451.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" path="m,l9029,e" filled="f" strokeweight=".72pt">
                <v:path arrowok="t" o:connecttype="custom" o:connectlocs="0,0;5733415,0" o:connectangles="0,0"/>
                <w10:wrap type="topAndBottom" anchorx="page"/>
              </v:shape>
            </w:pict>
          </mc:Fallback>
        </mc:AlternateContent>
      </w:r>
    </w:p>
    <w:p w14:paraId="678BA70C" w14:textId="77777777" w:rsidR="00027F11" w:rsidRDefault="00D91986">
      <w:pPr>
        <w:spacing w:before="72" w:line="256" w:lineRule="auto"/>
        <w:ind w:left="100" w:right="596"/>
        <w:rPr>
          <w:rFonts w:ascii="Calibri"/>
          <w:sz w:val="20"/>
        </w:rPr>
      </w:pPr>
      <w:r>
        <w:rPr>
          <w:rFonts w:ascii="Calibri"/>
          <w:sz w:val="20"/>
        </w:rPr>
        <w:t>force, i.e. that if the deceased was not seen by a medical practitioner either after death or within 28 days before death the registrar must refer the death to the coroner.</w:t>
      </w:r>
    </w:p>
    <w:p w14:paraId="678BA70D" w14:textId="77777777" w:rsidR="00027F11" w:rsidRDefault="00D91986">
      <w:pPr>
        <w:spacing w:before="161"/>
        <w:ind w:left="100"/>
        <w:rPr>
          <w:rFonts w:ascii="Calibri"/>
          <w:sz w:val="20"/>
        </w:rPr>
      </w:pPr>
      <w:r>
        <w:rPr>
          <w:rFonts w:ascii="Calibri"/>
          <w:position w:val="7"/>
          <w:sz w:val="13"/>
        </w:rPr>
        <w:t xml:space="preserve">5 </w:t>
      </w:r>
      <w:r>
        <w:rPr>
          <w:rFonts w:ascii="Calibri"/>
          <w:sz w:val="20"/>
        </w:rPr>
        <w:t>Sched 13, Part 1, para 7(1) Coronavirus Act 2020.</w:t>
      </w:r>
    </w:p>
    <w:p w14:paraId="678BA70E" w14:textId="77777777" w:rsidR="00027F11" w:rsidRDefault="00D91986">
      <w:pPr>
        <w:spacing w:before="175"/>
        <w:ind w:left="100"/>
        <w:rPr>
          <w:rFonts w:ascii="Calibri"/>
          <w:sz w:val="20"/>
        </w:rPr>
      </w:pPr>
      <w:r>
        <w:rPr>
          <w:rFonts w:ascii="Calibri"/>
          <w:position w:val="7"/>
          <w:sz w:val="13"/>
        </w:rPr>
        <w:t xml:space="preserve">6 </w:t>
      </w:r>
      <w:r>
        <w:rPr>
          <w:rFonts w:ascii="Calibri"/>
          <w:sz w:val="20"/>
        </w:rPr>
        <w:t>Section 19 Coronavirus Act 2020.</w:t>
      </w:r>
    </w:p>
    <w:p w14:paraId="678BA70F" w14:textId="77777777" w:rsidR="00027F11" w:rsidRDefault="00D91986">
      <w:pPr>
        <w:spacing w:before="177"/>
        <w:ind w:left="100"/>
        <w:rPr>
          <w:rFonts w:ascii="Calibri"/>
          <w:sz w:val="20"/>
        </w:rPr>
      </w:pPr>
      <w:r>
        <w:rPr>
          <w:rFonts w:ascii="Calibri"/>
          <w:position w:val="7"/>
          <w:sz w:val="13"/>
        </w:rPr>
        <w:t xml:space="preserve">7 </w:t>
      </w:r>
      <w:r>
        <w:rPr>
          <w:rFonts w:ascii="Calibri"/>
          <w:sz w:val="20"/>
        </w:rPr>
        <w:t>Reg 41(b)(ii) of the 1987 Regulations, as amended by s18 and Sched 13, Part 1, para 6(3) Coronavirus Act.</w:t>
      </w:r>
    </w:p>
    <w:p w14:paraId="678BA710" w14:textId="77777777" w:rsidR="00027F11" w:rsidRDefault="00027F11">
      <w:pPr>
        <w:rPr>
          <w:rFonts w:ascii="Calibri"/>
          <w:sz w:val="20"/>
        </w:rPr>
        <w:sectPr w:rsidR="00027F11">
          <w:pgSz w:w="11910" w:h="16840"/>
          <w:pgMar w:top="1360" w:right="1320" w:bottom="1560" w:left="1340" w:header="0" w:footer="1348" w:gutter="0"/>
          <w:cols w:space="720"/>
        </w:sectPr>
      </w:pPr>
    </w:p>
    <w:p w14:paraId="678BA711" w14:textId="77777777" w:rsidR="00027F11" w:rsidRDefault="00D91986">
      <w:pPr>
        <w:pStyle w:val="BodyText"/>
        <w:spacing w:before="82"/>
        <w:ind w:left="100" w:right="141"/>
      </w:pPr>
      <w:r>
        <w:lastRenderedPageBreak/>
        <w:t xml:space="preserve">visual/video/skype consultation) within 28 days before death, or </w:t>
      </w:r>
      <w:r>
        <w:rPr>
          <w:i/>
        </w:rPr>
        <w:t xml:space="preserve">viewed </w:t>
      </w:r>
      <w:r>
        <w:t>the body after death. ‘Viewing’ here means in person.</w:t>
      </w:r>
    </w:p>
    <w:p w14:paraId="678BA712" w14:textId="77777777" w:rsidR="00027F11" w:rsidRDefault="00027F11">
      <w:pPr>
        <w:pStyle w:val="BodyText"/>
        <w:spacing w:before="11"/>
        <w:rPr>
          <w:sz w:val="21"/>
        </w:rPr>
      </w:pPr>
    </w:p>
    <w:p w14:paraId="678BA713" w14:textId="77777777" w:rsidR="00027F11" w:rsidRDefault="00D91986">
      <w:pPr>
        <w:pStyle w:val="BodyText"/>
        <w:ind w:left="100" w:right="176"/>
      </w:pPr>
      <w:r w:rsidRPr="00D91986">
        <w:rPr>
          <w:highlight w:val="yellow"/>
        </w:rPr>
        <w:t>However, the crematorium medical referee may accept a Cremation Form 4 where the deceased has not been seen within 28 days before death or after death but where the death has been registered with an MCCD supported by a Form 100A.</w:t>
      </w:r>
    </w:p>
    <w:p w14:paraId="678BA714" w14:textId="77777777" w:rsidR="00027F11" w:rsidRDefault="00027F11">
      <w:pPr>
        <w:pStyle w:val="BodyText"/>
      </w:pPr>
    </w:p>
    <w:p w14:paraId="678BA715" w14:textId="77777777" w:rsidR="00027F11" w:rsidRDefault="00D91986">
      <w:pPr>
        <w:pStyle w:val="BodyText"/>
        <w:spacing w:before="1"/>
        <w:ind w:left="100" w:right="508"/>
      </w:pPr>
      <w:r>
        <w:t>It is open to the medical referee to consult the coroner’s office, should he so wish, before authorising the cremation.</w:t>
      </w:r>
    </w:p>
    <w:p w14:paraId="678BA716" w14:textId="77777777" w:rsidR="00027F11" w:rsidRDefault="00027F11">
      <w:pPr>
        <w:pStyle w:val="BodyText"/>
        <w:rPr>
          <w:sz w:val="24"/>
        </w:rPr>
      </w:pPr>
    </w:p>
    <w:p w14:paraId="678BA717" w14:textId="77777777" w:rsidR="00027F11" w:rsidRDefault="00027F11">
      <w:pPr>
        <w:pStyle w:val="BodyText"/>
        <w:spacing w:before="9"/>
        <w:rPr>
          <w:sz w:val="33"/>
        </w:rPr>
      </w:pPr>
    </w:p>
    <w:p w14:paraId="678BA718" w14:textId="77777777" w:rsidR="00027F11" w:rsidRDefault="00D91986">
      <w:pPr>
        <w:pStyle w:val="Heading1"/>
        <w:rPr>
          <w:u w:val="none"/>
        </w:rPr>
      </w:pPr>
      <w:r>
        <w:rPr>
          <w:u w:val="thick"/>
        </w:rPr>
        <w:t>COVID-19 as a notifiable death and jury inquests</w:t>
      </w:r>
    </w:p>
    <w:p w14:paraId="678BA719" w14:textId="77777777" w:rsidR="00027F11" w:rsidRDefault="00D91986">
      <w:pPr>
        <w:pStyle w:val="BodyText"/>
        <w:spacing w:before="156"/>
        <w:ind w:left="100" w:right="508"/>
      </w:pPr>
      <w:r>
        <w:t>COVID-19 has been listed as a notifiable death under the Health Protection (Notification) Regulations 2010 which means it is notifiable to Public Health England.</w:t>
      </w:r>
    </w:p>
    <w:p w14:paraId="678BA71A" w14:textId="77777777" w:rsidR="00027F11" w:rsidRDefault="00027F11">
      <w:pPr>
        <w:pStyle w:val="BodyText"/>
        <w:spacing w:before="11"/>
        <w:rPr>
          <w:sz w:val="21"/>
        </w:rPr>
      </w:pPr>
    </w:p>
    <w:p w14:paraId="678BA71B" w14:textId="77777777" w:rsidR="00027F11" w:rsidRDefault="00D91986">
      <w:pPr>
        <w:pStyle w:val="BodyText"/>
        <w:spacing w:line="242" w:lineRule="auto"/>
        <w:ind w:left="100" w:right="471"/>
      </w:pPr>
      <w:r>
        <w:t>Where the coroner decides to open an inquest, section 30 of the Coronavirus Act 2020 removes the requirement for an inquest to be held with a jury if the coroner has reason to suspect death was caused by COVID-19.</w:t>
      </w:r>
    </w:p>
    <w:p w14:paraId="678BA71C" w14:textId="77777777" w:rsidR="00027F11" w:rsidRDefault="00D91986">
      <w:pPr>
        <w:pStyle w:val="BodyText"/>
        <w:spacing w:before="150"/>
        <w:ind w:left="100" w:right="214"/>
      </w:pPr>
      <w:r>
        <w:t>It is worth restating here that although COVID-19 is a notifiable disease under the Health Protection (Notification) Regulations 2010 that does not mean a report of death to a coroner is required by virtue of its notifiable status (the notification is to Public Health England), and there will often be no reason for deaths caused by this disease to be referred to a coroner.</w:t>
      </w:r>
    </w:p>
    <w:p w14:paraId="678BA71D" w14:textId="77777777" w:rsidR="00027F11" w:rsidRDefault="00027F11">
      <w:pPr>
        <w:pStyle w:val="BodyText"/>
        <w:rPr>
          <w:sz w:val="24"/>
        </w:rPr>
      </w:pPr>
    </w:p>
    <w:p w14:paraId="678BA71E" w14:textId="77777777" w:rsidR="00027F11" w:rsidRDefault="00027F11">
      <w:pPr>
        <w:pStyle w:val="BodyText"/>
        <w:spacing w:before="4"/>
        <w:rPr>
          <w:sz w:val="25"/>
        </w:rPr>
      </w:pPr>
    </w:p>
    <w:p w14:paraId="678BA71F" w14:textId="77777777" w:rsidR="00027F11" w:rsidRDefault="00D91986">
      <w:pPr>
        <w:pStyle w:val="Heading1"/>
        <w:rPr>
          <w:u w:val="none"/>
        </w:rPr>
      </w:pPr>
      <w:r>
        <w:rPr>
          <w:u w:val="thick"/>
        </w:rPr>
        <w:t>Exercise of powers in the Act</w:t>
      </w:r>
    </w:p>
    <w:p w14:paraId="678BA720" w14:textId="77777777" w:rsidR="00027F11" w:rsidRDefault="00D91986">
      <w:pPr>
        <w:pStyle w:val="BodyText"/>
        <w:spacing w:before="156"/>
        <w:ind w:left="100" w:right="129"/>
        <w:rPr>
          <w:sz w:val="14"/>
        </w:rPr>
      </w:pPr>
      <w:r>
        <w:t>The Coronavirus Act 2020 is not retrospective. It received Royal Assent on 25 March 2020. The provisions on death registration came into force on 26 March 2020.</w:t>
      </w:r>
      <w:r>
        <w:rPr>
          <w:position w:val="8"/>
          <w:sz w:val="14"/>
        </w:rPr>
        <w:t>8</w:t>
      </w:r>
    </w:p>
    <w:p w14:paraId="678BA721" w14:textId="77777777" w:rsidR="00027F11" w:rsidRDefault="00D91986">
      <w:pPr>
        <w:pStyle w:val="BodyText"/>
        <w:spacing w:before="151"/>
        <w:ind w:left="100"/>
        <w:rPr>
          <w:sz w:val="14"/>
        </w:rPr>
      </w:pPr>
      <w:r>
        <w:t>The provisions in the Act regarding MCCDs will remain effective during the life of the Act.</w:t>
      </w:r>
      <w:r>
        <w:rPr>
          <w:position w:val="8"/>
          <w:sz w:val="14"/>
        </w:rPr>
        <w:t>9</w:t>
      </w:r>
    </w:p>
    <w:p w14:paraId="678BA722" w14:textId="77777777" w:rsidR="00027F11" w:rsidRDefault="00027F11">
      <w:pPr>
        <w:pStyle w:val="BodyText"/>
        <w:rPr>
          <w:sz w:val="24"/>
        </w:rPr>
      </w:pPr>
    </w:p>
    <w:p w14:paraId="678BA723" w14:textId="77777777" w:rsidR="00027F11" w:rsidRDefault="00027F11">
      <w:pPr>
        <w:pStyle w:val="BodyText"/>
        <w:rPr>
          <w:sz w:val="24"/>
        </w:rPr>
      </w:pPr>
    </w:p>
    <w:p w14:paraId="678BA724" w14:textId="77777777" w:rsidR="00027F11" w:rsidRDefault="00027F11">
      <w:pPr>
        <w:pStyle w:val="BodyText"/>
        <w:spacing w:before="9"/>
        <w:rPr>
          <w:sz w:val="35"/>
        </w:rPr>
      </w:pPr>
    </w:p>
    <w:p w14:paraId="678BA725" w14:textId="77777777" w:rsidR="00027F11" w:rsidRDefault="00D91986">
      <w:pPr>
        <w:pStyle w:val="Heading1"/>
        <w:spacing w:line="360" w:lineRule="auto"/>
        <w:ind w:left="460" w:right="5848"/>
        <w:rPr>
          <w:u w:val="none"/>
        </w:rPr>
      </w:pPr>
      <w:r>
        <w:rPr>
          <w:u w:val="none"/>
        </w:rPr>
        <w:t>CHIEF CORONER’S OFFICE JUDICIAL OFFICE</w:t>
      </w:r>
    </w:p>
    <w:p w14:paraId="678BA726" w14:textId="77777777" w:rsidR="00027F11" w:rsidRDefault="00027F11">
      <w:pPr>
        <w:pStyle w:val="BodyText"/>
        <w:spacing w:before="2"/>
        <w:rPr>
          <w:b/>
          <w:sz w:val="33"/>
        </w:rPr>
      </w:pPr>
    </w:p>
    <w:p w14:paraId="678BA727" w14:textId="77777777" w:rsidR="00027F11" w:rsidRDefault="00D91986">
      <w:pPr>
        <w:ind w:left="460"/>
        <w:rPr>
          <w:b/>
        </w:rPr>
      </w:pPr>
      <w:r>
        <w:rPr>
          <w:b/>
        </w:rPr>
        <w:t>30 MARCH 2020</w:t>
      </w:r>
    </w:p>
    <w:p w14:paraId="678BA728" w14:textId="77777777" w:rsidR="00027F11" w:rsidRDefault="00027F11">
      <w:pPr>
        <w:pStyle w:val="BodyText"/>
        <w:rPr>
          <w:b/>
          <w:sz w:val="20"/>
        </w:rPr>
      </w:pPr>
    </w:p>
    <w:p w14:paraId="678BA729" w14:textId="77777777" w:rsidR="00027F11" w:rsidRDefault="00027F11">
      <w:pPr>
        <w:pStyle w:val="BodyText"/>
        <w:rPr>
          <w:b/>
          <w:sz w:val="20"/>
        </w:rPr>
      </w:pPr>
    </w:p>
    <w:p w14:paraId="678BA72A" w14:textId="77777777" w:rsidR="00027F11" w:rsidRDefault="00027F11">
      <w:pPr>
        <w:pStyle w:val="BodyText"/>
        <w:rPr>
          <w:b/>
          <w:sz w:val="20"/>
        </w:rPr>
      </w:pPr>
    </w:p>
    <w:p w14:paraId="678BA72B" w14:textId="77777777" w:rsidR="00027F11" w:rsidRDefault="00027F11">
      <w:pPr>
        <w:pStyle w:val="BodyText"/>
        <w:rPr>
          <w:b/>
          <w:sz w:val="20"/>
        </w:rPr>
      </w:pPr>
    </w:p>
    <w:p w14:paraId="678BA72C" w14:textId="77777777" w:rsidR="00027F11" w:rsidRDefault="00027F11">
      <w:pPr>
        <w:pStyle w:val="BodyText"/>
        <w:rPr>
          <w:b/>
          <w:sz w:val="20"/>
        </w:rPr>
      </w:pPr>
    </w:p>
    <w:p w14:paraId="678BA72D" w14:textId="77777777" w:rsidR="00027F11" w:rsidRDefault="00027F11">
      <w:pPr>
        <w:pStyle w:val="BodyText"/>
        <w:rPr>
          <w:b/>
          <w:sz w:val="20"/>
        </w:rPr>
      </w:pPr>
    </w:p>
    <w:p w14:paraId="678BA72E" w14:textId="77777777" w:rsidR="00027F11" w:rsidRDefault="00027F11">
      <w:pPr>
        <w:pStyle w:val="BodyText"/>
        <w:rPr>
          <w:b/>
          <w:sz w:val="20"/>
        </w:rPr>
      </w:pPr>
    </w:p>
    <w:p w14:paraId="678BA72F" w14:textId="77777777" w:rsidR="00027F11" w:rsidRDefault="00027F11">
      <w:pPr>
        <w:pStyle w:val="BodyText"/>
        <w:rPr>
          <w:b/>
          <w:sz w:val="20"/>
        </w:rPr>
      </w:pPr>
    </w:p>
    <w:p w14:paraId="678BA730" w14:textId="2D1A551E" w:rsidR="00027F11" w:rsidRDefault="00A66099">
      <w:pPr>
        <w:pStyle w:val="BodyText"/>
        <w:spacing w:before="7"/>
        <w:rPr>
          <w:b/>
          <w:sz w:val="11"/>
        </w:rPr>
      </w:pPr>
      <w:r>
        <w:rPr>
          <w:noProof/>
          <w:lang w:bidi="ar-SA"/>
        </w:rPr>
        <mc:AlternateContent>
          <mc:Choice Requires="wps">
            <w:drawing>
              <wp:anchor distT="0" distB="0" distL="0" distR="0" simplePos="0" relativeHeight="251660288" behindDoc="1" locked="0" layoutInCell="1" allowOverlap="1" wp14:anchorId="678BA737" wp14:editId="392DCCE6">
                <wp:simplePos x="0" y="0"/>
                <wp:positionH relativeFrom="page">
                  <wp:posOffset>914400</wp:posOffset>
                </wp:positionH>
                <wp:positionV relativeFrom="paragraph">
                  <wp:posOffset>114935</wp:posOffset>
                </wp:positionV>
                <wp:extent cx="18294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9.0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" path="m,l2881,e" filled="f" strokeweight=".72pt">
                <v:path arrowok="t" o:connecttype="custom" o:connectlocs="0,0;1829435,0" o:connectangles="0,0"/>
                <w10:wrap type="topAndBottom" anchorx="page"/>
              </v:shape>
            </w:pict>
          </mc:Fallback>
        </mc:AlternateContent>
      </w:r>
    </w:p>
    <w:p w14:paraId="678BA731" w14:textId="77777777" w:rsidR="00027F11" w:rsidRDefault="00D91986">
      <w:pPr>
        <w:spacing w:before="67"/>
        <w:ind w:left="100"/>
        <w:rPr>
          <w:rFonts w:ascii="Calibri"/>
          <w:sz w:val="20"/>
        </w:rPr>
      </w:pPr>
      <w:r>
        <w:rPr>
          <w:rFonts w:ascii="Calibri"/>
          <w:position w:val="7"/>
          <w:sz w:val="13"/>
        </w:rPr>
        <w:t xml:space="preserve">8 </w:t>
      </w:r>
      <w:hyperlink r:id="rId12">
        <w:r>
          <w:rPr>
            <w:rFonts w:ascii="Calibri"/>
            <w:color w:val="0462C1"/>
            <w:sz w:val="20"/>
            <w:u w:val="single" w:color="0462C1"/>
          </w:rPr>
          <w:t>http://www.legislation.gov.uk/uksi/2020/361/introduction/made</w:t>
        </w:r>
      </w:hyperlink>
    </w:p>
    <w:p w14:paraId="678BA732" w14:textId="77777777" w:rsidR="00027F11" w:rsidRDefault="00D91986">
      <w:pPr>
        <w:spacing w:before="177" w:line="259" w:lineRule="auto"/>
        <w:ind w:left="100" w:right="124"/>
        <w:rPr>
          <w:rFonts w:ascii="Calibri" w:hAnsi="Calibri"/>
          <w:sz w:val="20"/>
        </w:rPr>
      </w:pPr>
      <w:r>
        <w:rPr>
          <w:rFonts w:ascii="Calibri" w:hAnsi="Calibri"/>
          <w:position w:val="7"/>
          <w:sz w:val="13"/>
        </w:rPr>
        <w:t xml:space="preserve">9 </w:t>
      </w:r>
      <w:r>
        <w:rPr>
          <w:rFonts w:ascii="Calibri" w:hAnsi="Calibri"/>
          <w:sz w:val="20"/>
        </w:rPr>
        <w:t>See Sched 13, Part 1, para 4(1) Coronavirus Act. This ‘future-proofs’ the MCCD provisions in case the prospective provisions in para 14, Sched 21 Coroners and Justice Act 2009 are commenced during the two year life of the Coronavirus Act.</w:t>
      </w:r>
    </w:p>
    <w:sectPr w:rsidR="00027F11">
      <w:pgSz w:w="11910" w:h="16840"/>
      <w:pgMar w:top="1340" w:right="1320" w:bottom="1560" w:left="1340" w:header="0" w:footer="134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Cundy" w:date="2020-04-09T08:18:00Z" w:initials="PC">
    <w:p w14:paraId="66F23F21" w14:textId="44E72E9A" w:rsidR="00140BCA" w:rsidRDefault="00140BCA">
      <w:pPr>
        <w:pStyle w:val="CommentText"/>
      </w:pPr>
      <w:r>
        <w:rPr>
          <w:rStyle w:val="CommentReference"/>
        </w:rPr>
        <w:annotationRef/>
      </w:r>
      <w:r>
        <w:t>This section is excellent and good</w:t>
      </w:r>
      <w:r w:rsidR="00040B11">
        <w:t xml:space="preserve"> and correct. It also tallies with the HM Passport Office F66 Guidance.</w:t>
      </w:r>
    </w:p>
  </w:comment>
  <w:comment w:id="2" w:author="Paul Cundy" w:date="2020-04-09T08:19:00Z" w:initials="PC">
    <w:p w14:paraId="06C8C3C1" w14:textId="22D25F7A" w:rsidR="00277191" w:rsidRDefault="00277191">
      <w:pPr>
        <w:pStyle w:val="CommentText"/>
      </w:pPr>
      <w:r>
        <w:rPr>
          <w:rStyle w:val="CommentReference"/>
        </w:rPr>
        <w:annotationRef/>
      </w:r>
      <w:r>
        <w:t xml:space="preserve">Note this si the Chief Coroner NOT agreeing with </w:t>
      </w:r>
      <w:r w:rsidR="007A069C">
        <w:t>the Registrar General, the words are that the RG’s “position” is…….</w:t>
      </w:r>
    </w:p>
  </w:comment>
  <w:comment w:id="3" w:author="Paul Cundy" w:date="2020-04-09T08:24:00Z" w:initials="PC">
    <w:p w14:paraId="5A6C809D" w14:textId="77777777" w:rsidR="003C6250" w:rsidRDefault="005026AE" w:rsidP="003C6250">
      <w:pPr>
        <w:pStyle w:val="CommentText"/>
      </w:pPr>
      <w:r>
        <w:rPr>
          <w:rStyle w:val="CommentReference"/>
        </w:rPr>
        <w:annotationRef/>
      </w:r>
      <w:r>
        <w:t>HM Passport office def</w:t>
      </w:r>
      <w:r w:rsidR="004A41EA">
        <w:t>inition of attended ;</w:t>
      </w:r>
    </w:p>
    <w:p w14:paraId="620320F6" w14:textId="469847EF" w:rsidR="003C6250" w:rsidRDefault="003C6250" w:rsidP="003C6250">
      <w:pPr>
        <w:pStyle w:val="CommentText"/>
      </w:pPr>
      <w:r>
        <w:t>“</w:t>
      </w:r>
      <w:r w:rsidR="00E83501" w:rsidRPr="00E83501">
        <w:t xml:space="preserve"> </w:t>
      </w:r>
      <w:r w:rsidR="00E83501">
        <w:t xml:space="preserve">There is no clear legal definition of “attended”, </w:t>
      </w:r>
      <w:r w:rsidR="00E83501">
        <w:rPr>
          <w:rStyle w:val="CommentReference"/>
        </w:rPr>
        <w:annotationRef/>
      </w:r>
      <w:r w:rsidR="00E83501">
        <w:t>but it is generally accepted to mean a doctor who has cared for the patient during the illness that led to death and so is familiar with the patient’s medical history, investigations and treatment.</w:t>
      </w:r>
      <w:r w:rsidRPr="003C6250">
        <w:t xml:space="preserve"> </w:t>
      </w:r>
      <w:r>
        <w:t>The certifying doctor should also have access to relevant medical records and the results of investigations”</w:t>
      </w:r>
    </w:p>
    <w:p w14:paraId="0CBE0139" w14:textId="2D146239" w:rsidR="005026AE" w:rsidRDefault="005026A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F23F21" w15:done="0"/>
  <w15:commentEx w15:paraId="06C8C3C1" w15:done="0"/>
  <w15:commentEx w15:paraId="0CBE0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58DB" w16cex:dateUtc="2020-04-09T07:18:00Z"/>
  <w16cex:commentExtensible w16cex:durableId="2239591F" w16cex:dateUtc="2020-04-09T07:19:00Z"/>
  <w16cex:commentExtensible w16cex:durableId="22395A4A" w16cex:dateUtc="2020-04-09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23F21" w16cid:durableId="223958DB"/>
  <w16cid:commentId w16cid:paraId="06C8C3C1" w16cid:durableId="2239591F"/>
  <w16cid:commentId w16cid:paraId="0CBE0139" w16cid:durableId="22395A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447C4" w14:textId="77777777" w:rsidR="007B5E8E" w:rsidRDefault="007B5E8E">
      <w:r>
        <w:separator/>
      </w:r>
    </w:p>
  </w:endnote>
  <w:endnote w:type="continuationSeparator" w:id="0">
    <w:p w14:paraId="72DA916E"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A738" w14:textId="0A301D7E" w:rsidR="00027F11" w:rsidRDefault="00A6609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78BA739" wp14:editId="0F88B262">
              <wp:simplePos x="0" y="0"/>
              <wp:positionH relativeFrom="page">
                <wp:posOffset>3707130</wp:posOffset>
              </wp:positionH>
              <wp:positionV relativeFrom="page">
                <wp:posOffset>9687560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A73A" w14:textId="77777777" w:rsidR="00027F11" w:rsidRDefault="00D91986">
                          <w:pPr>
                            <w:pStyle w:val="BodyText"/>
                            <w:spacing w:line="245" w:lineRule="exact"/>
                            <w:ind w:left="60"/>
                            <w:rPr>
                              <w:rFonts w:ascii="Calibri"/>
                            </w:rPr>
                          </w:pPr>
                          <w:r>
                            <w:fldChar w:fldCharType="begin"/>
                          </w:r>
                          <w:r>
                            <w:rPr>
                              <w:rFonts w:ascii="Calibri"/>
                            </w:rPr>
                            <w:instrText xml:space="preserve"> PAGE </w:instrText>
                          </w:r>
                          <w:r>
                            <w:fldChar w:fldCharType="separate"/>
                          </w:r>
                          <w:r w:rsidR="00A6609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62.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" filled="f" stroked="f">
              <v:textbox inset="0,0,0,0">
                <w:txbxContent>
                  <w:p w14:paraId="678BA73A" w14:textId="77777777" w:rsidR="00027F11" w:rsidRDefault="00D91986">
                    <w:pPr>
                      <w:pStyle w:val="BodyText"/>
                      <w:spacing w:line="245" w:lineRule="exact"/>
                      <w:ind w:left="60"/>
                      <w:rPr>
                        <w:rFonts w:ascii="Calibri"/>
                      </w:rPr>
                    </w:pPr>
                    <w:r>
                      <w:fldChar w:fldCharType="begin"/>
                    </w:r>
                    <w:r>
                      <w:rPr>
                        <w:rFonts w:ascii="Calibri"/>
                      </w:rPr>
                      <w:instrText xml:space="preserve"> PAGE </w:instrText>
                    </w:r>
                    <w:r>
                      <w:fldChar w:fldCharType="separate"/>
                    </w:r>
                    <w:r w:rsidR="00A6609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4E53" w14:textId="77777777" w:rsidR="007B5E8E" w:rsidRDefault="007B5E8E">
      <w:r>
        <w:separator/>
      </w:r>
    </w:p>
  </w:footnote>
  <w:footnote w:type="continuationSeparator" w:id="0">
    <w:p w14:paraId="563AD17D" w14:textId="77777777" w:rsidR="007B5E8E" w:rsidRDefault="007B5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D3C7D"/>
    <w:multiLevelType w:val="hybridMultilevel"/>
    <w:tmpl w:val="8D3CB668"/>
    <w:lvl w:ilvl="0" w:tplc="6832C978">
      <w:numFmt w:val="bullet"/>
      <w:lvlText w:val=""/>
      <w:lvlJc w:val="left"/>
      <w:pPr>
        <w:ind w:left="1540" w:hanging="360"/>
      </w:pPr>
      <w:rPr>
        <w:rFonts w:ascii="Symbol" w:eastAsia="Symbol" w:hAnsi="Symbol" w:cs="Symbol" w:hint="default"/>
        <w:w w:val="100"/>
        <w:sz w:val="22"/>
        <w:szCs w:val="22"/>
        <w:lang w:val="en-GB" w:eastAsia="en-GB" w:bidi="en-GB"/>
      </w:rPr>
    </w:lvl>
    <w:lvl w:ilvl="1" w:tplc="9558D960">
      <w:numFmt w:val="bullet"/>
      <w:lvlText w:val="•"/>
      <w:lvlJc w:val="left"/>
      <w:pPr>
        <w:ind w:left="2310" w:hanging="360"/>
      </w:pPr>
      <w:rPr>
        <w:rFonts w:hint="default"/>
        <w:lang w:val="en-GB" w:eastAsia="en-GB" w:bidi="en-GB"/>
      </w:rPr>
    </w:lvl>
    <w:lvl w:ilvl="2" w:tplc="D3DA01EC">
      <w:numFmt w:val="bullet"/>
      <w:lvlText w:val="•"/>
      <w:lvlJc w:val="left"/>
      <w:pPr>
        <w:ind w:left="3081" w:hanging="360"/>
      </w:pPr>
      <w:rPr>
        <w:rFonts w:hint="default"/>
        <w:lang w:val="en-GB" w:eastAsia="en-GB" w:bidi="en-GB"/>
      </w:rPr>
    </w:lvl>
    <w:lvl w:ilvl="3" w:tplc="229046DE">
      <w:numFmt w:val="bullet"/>
      <w:lvlText w:val="•"/>
      <w:lvlJc w:val="left"/>
      <w:pPr>
        <w:ind w:left="3851" w:hanging="360"/>
      </w:pPr>
      <w:rPr>
        <w:rFonts w:hint="default"/>
        <w:lang w:val="en-GB" w:eastAsia="en-GB" w:bidi="en-GB"/>
      </w:rPr>
    </w:lvl>
    <w:lvl w:ilvl="4" w:tplc="227C5C5A">
      <w:numFmt w:val="bullet"/>
      <w:lvlText w:val="•"/>
      <w:lvlJc w:val="left"/>
      <w:pPr>
        <w:ind w:left="4622" w:hanging="360"/>
      </w:pPr>
      <w:rPr>
        <w:rFonts w:hint="default"/>
        <w:lang w:val="en-GB" w:eastAsia="en-GB" w:bidi="en-GB"/>
      </w:rPr>
    </w:lvl>
    <w:lvl w:ilvl="5" w:tplc="7B16A194">
      <w:numFmt w:val="bullet"/>
      <w:lvlText w:val="•"/>
      <w:lvlJc w:val="left"/>
      <w:pPr>
        <w:ind w:left="5393" w:hanging="360"/>
      </w:pPr>
      <w:rPr>
        <w:rFonts w:hint="default"/>
        <w:lang w:val="en-GB" w:eastAsia="en-GB" w:bidi="en-GB"/>
      </w:rPr>
    </w:lvl>
    <w:lvl w:ilvl="6" w:tplc="3446DE00">
      <w:numFmt w:val="bullet"/>
      <w:lvlText w:val="•"/>
      <w:lvlJc w:val="left"/>
      <w:pPr>
        <w:ind w:left="6163" w:hanging="360"/>
      </w:pPr>
      <w:rPr>
        <w:rFonts w:hint="default"/>
        <w:lang w:val="en-GB" w:eastAsia="en-GB" w:bidi="en-GB"/>
      </w:rPr>
    </w:lvl>
    <w:lvl w:ilvl="7" w:tplc="365CF242">
      <w:numFmt w:val="bullet"/>
      <w:lvlText w:val="•"/>
      <w:lvlJc w:val="left"/>
      <w:pPr>
        <w:ind w:left="6934" w:hanging="360"/>
      </w:pPr>
      <w:rPr>
        <w:rFonts w:hint="default"/>
        <w:lang w:val="en-GB" w:eastAsia="en-GB" w:bidi="en-GB"/>
      </w:rPr>
    </w:lvl>
    <w:lvl w:ilvl="8" w:tplc="967A3026">
      <w:numFmt w:val="bullet"/>
      <w:lvlText w:val="•"/>
      <w:lvlJc w:val="left"/>
      <w:pPr>
        <w:ind w:left="7705" w:hanging="360"/>
      </w:pPr>
      <w:rPr>
        <w:rFonts w:hint="default"/>
        <w:lang w:val="en-GB" w:eastAsia="en-GB" w:bidi="en-G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Cundy">
    <w15:presenceInfo w15:providerId="Windows Live" w15:userId="0b7e93546dbb3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11"/>
    <w:rsid w:val="00027F11"/>
    <w:rsid w:val="00040B11"/>
    <w:rsid w:val="00140BCA"/>
    <w:rsid w:val="001751E6"/>
    <w:rsid w:val="00277191"/>
    <w:rsid w:val="003C6250"/>
    <w:rsid w:val="004A41EA"/>
    <w:rsid w:val="005026AE"/>
    <w:rsid w:val="00674610"/>
    <w:rsid w:val="007A069C"/>
    <w:rsid w:val="007B5E8E"/>
    <w:rsid w:val="009747C3"/>
    <w:rsid w:val="00A66099"/>
    <w:rsid w:val="00B61E76"/>
    <w:rsid w:val="00BC48E6"/>
    <w:rsid w:val="00D91986"/>
    <w:rsid w:val="00E83501"/>
    <w:rsid w:val="00EC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B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6"/>
      <w:ind w:left="1540" w:right="51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48E6"/>
    <w:rPr>
      <w:sz w:val="16"/>
      <w:szCs w:val="16"/>
    </w:rPr>
  </w:style>
  <w:style w:type="paragraph" w:styleId="CommentText">
    <w:name w:val="annotation text"/>
    <w:basedOn w:val="Normal"/>
    <w:link w:val="CommentTextChar"/>
    <w:uiPriority w:val="99"/>
    <w:semiHidden/>
    <w:unhideWhenUsed/>
    <w:rsid w:val="00BC48E6"/>
    <w:rPr>
      <w:sz w:val="20"/>
      <w:szCs w:val="20"/>
    </w:rPr>
  </w:style>
  <w:style w:type="character" w:customStyle="1" w:styleId="CommentTextChar">
    <w:name w:val="Comment Text Char"/>
    <w:basedOn w:val="DefaultParagraphFont"/>
    <w:link w:val="CommentText"/>
    <w:uiPriority w:val="99"/>
    <w:semiHidden/>
    <w:rsid w:val="00BC48E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C48E6"/>
    <w:rPr>
      <w:b/>
      <w:bCs/>
    </w:rPr>
  </w:style>
  <w:style w:type="character" w:customStyle="1" w:styleId="CommentSubjectChar">
    <w:name w:val="Comment Subject Char"/>
    <w:basedOn w:val="CommentTextChar"/>
    <w:link w:val="CommentSubject"/>
    <w:uiPriority w:val="99"/>
    <w:semiHidden/>
    <w:rsid w:val="00BC48E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C4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E6"/>
    <w:rPr>
      <w:rFonts w:ascii="Segoe UI" w:eastAsia="Arial" w:hAnsi="Segoe UI" w:cs="Segoe UI"/>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6"/>
      <w:ind w:left="1540" w:right="51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48E6"/>
    <w:rPr>
      <w:sz w:val="16"/>
      <w:szCs w:val="16"/>
    </w:rPr>
  </w:style>
  <w:style w:type="paragraph" w:styleId="CommentText">
    <w:name w:val="annotation text"/>
    <w:basedOn w:val="Normal"/>
    <w:link w:val="CommentTextChar"/>
    <w:uiPriority w:val="99"/>
    <w:semiHidden/>
    <w:unhideWhenUsed/>
    <w:rsid w:val="00BC48E6"/>
    <w:rPr>
      <w:sz w:val="20"/>
      <w:szCs w:val="20"/>
    </w:rPr>
  </w:style>
  <w:style w:type="character" w:customStyle="1" w:styleId="CommentTextChar">
    <w:name w:val="Comment Text Char"/>
    <w:basedOn w:val="DefaultParagraphFont"/>
    <w:link w:val="CommentText"/>
    <w:uiPriority w:val="99"/>
    <w:semiHidden/>
    <w:rsid w:val="00BC48E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C48E6"/>
    <w:rPr>
      <w:b/>
      <w:bCs/>
    </w:rPr>
  </w:style>
  <w:style w:type="character" w:customStyle="1" w:styleId="CommentSubjectChar">
    <w:name w:val="Comment Subject Char"/>
    <w:basedOn w:val="CommentTextChar"/>
    <w:link w:val="CommentSubject"/>
    <w:uiPriority w:val="99"/>
    <w:semiHidden/>
    <w:rsid w:val="00BC48E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C4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E6"/>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20/361/introduction/made"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pga/2020/7/contents/enacted"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Brenda (DJO-JSB)</dc:creator>
  <cp:lastModifiedBy>Tim</cp:lastModifiedBy>
  <cp:revision>2</cp:revision>
  <dcterms:created xsi:type="dcterms:W3CDTF">2020-04-14T14:30:00Z</dcterms:created>
  <dcterms:modified xsi:type="dcterms:W3CDTF">2020-04-14T14:30:00Z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2020-04-09T00:00:00Z</vt:filetime>
  </property>
</Properties>
</file>