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61DA" w14:textId="1A0B706F" w:rsidR="00F42A56" w:rsidRDefault="00474423" w:rsidP="00474423">
      <w:pPr>
        <w:widowControl w:val="0"/>
        <w:pBdr>
          <w:top w:val="nil"/>
          <w:left w:val="nil"/>
          <w:bottom w:val="nil"/>
          <w:right w:val="nil"/>
          <w:between w:val="nil"/>
        </w:pBdr>
        <w:spacing w:line="276" w:lineRule="auto"/>
        <w:ind w:firstLine="3261"/>
        <w:rPr>
          <w:rFonts w:ascii="Arial" w:eastAsia="Arial" w:hAnsi="Arial" w:cs="Arial"/>
          <w:color w:val="000000"/>
          <w:sz w:val="22"/>
          <w:szCs w:val="22"/>
        </w:rPr>
      </w:pPr>
      <w:bookmarkStart w:id="0" w:name="_GoBack"/>
      <w:bookmarkEnd w:id="0"/>
      <w:r>
        <w:rPr>
          <w:noProof/>
        </w:rPr>
        <w:drawing>
          <wp:inline distT="0" distB="0" distL="0" distR="0" wp14:anchorId="43E50593" wp14:editId="293A795C">
            <wp:extent cx="1143000" cy="952500"/>
            <wp:effectExtent l="0" t="0" r="0" b="0"/>
            <wp:docPr id="4" name="Picture 4" descr="Crest &amp; Title"/>
            <wp:cNvGraphicFramePr/>
            <a:graphic xmlns:a="http://schemas.openxmlformats.org/drawingml/2006/main">
              <a:graphicData uri="http://schemas.openxmlformats.org/drawingml/2006/picture">
                <pic:pic xmlns:pic="http://schemas.openxmlformats.org/drawingml/2006/picture">
                  <pic:nvPicPr>
                    <pic:cNvPr id="2" name="Picture 2" descr="Crest &amp; Titl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tbl>
      <w:tblPr>
        <w:tblStyle w:val="a"/>
        <w:tblW w:w="3120" w:type="dxa"/>
        <w:tblInd w:w="-601" w:type="dxa"/>
        <w:tblLayout w:type="fixed"/>
        <w:tblLook w:val="0000" w:firstRow="0" w:lastRow="0" w:firstColumn="0" w:lastColumn="0" w:noHBand="0" w:noVBand="0"/>
      </w:tblPr>
      <w:tblGrid>
        <w:gridCol w:w="3120"/>
      </w:tblGrid>
      <w:tr w:rsidR="00474423" w14:paraId="468A55B7" w14:textId="77777777" w:rsidTr="00474423">
        <w:tc>
          <w:tcPr>
            <w:tcW w:w="3120" w:type="dxa"/>
            <w:vAlign w:val="center"/>
          </w:tcPr>
          <w:p w14:paraId="4B9BA9D5" w14:textId="42319079" w:rsidR="00474423" w:rsidRDefault="00474423">
            <w:pPr>
              <w:ind w:left="-108"/>
              <w:jc w:val="center"/>
              <w:rPr>
                <w:rFonts w:ascii="Arial" w:eastAsia="Arial" w:hAnsi="Arial" w:cs="Arial"/>
                <w:sz w:val="18"/>
                <w:szCs w:val="18"/>
              </w:rPr>
            </w:pPr>
          </w:p>
        </w:tc>
      </w:tr>
    </w:tbl>
    <w:p w14:paraId="22DAA204" w14:textId="20686255" w:rsidR="00474423" w:rsidRDefault="008F293D" w:rsidP="008F293D">
      <w:pPr>
        <w:tabs>
          <w:tab w:val="left" w:pos="2700"/>
          <w:tab w:val="center" w:pos="4321"/>
        </w:tabs>
        <w:rPr>
          <w:rFonts w:ascii="Calibri" w:eastAsia="Calibri" w:hAnsi="Calibri" w:cs="Arial"/>
          <w:b/>
          <w:bCs/>
          <w:sz w:val="20"/>
          <w:szCs w:val="20"/>
        </w:rPr>
      </w:pPr>
      <w:bookmarkStart w:id="1" w:name="_gjdgxs" w:colFirst="0" w:colLast="0"/>
      <w:bookmarkEnd w:id="1"/>
      <w:r>
        <w:rPr>
          <w:rFonts w:ascii="Calibri" w:eastAsia="Calibri" w:hAnsi="Calibri" w:cs="Arial"/>
          <w:b/>
          <w:bCs/>
          <w:sz w:val="20"/>
          <w:szCs w:val="20"/>
        </w:rPr>
        <w:tab/>
      </w:r>
      <w:r>
        <w:rPr>
          <w:rFonts w:ascii="Calibri" w:eastAsia="Calibri" w:hAnsi="Calibri" w:cs="Arial"/>
          <w:b/>
          <w:bCs/>
          <w:sz w:val="20"/>
          <w:szCs w:val="20"/>
        </w:rPr>
        <w:tab/>
      </w:r>
      <w:r w:rsidR="00474423">
        <w:rPr>
          <w:rFonts w:ascii="Calibri" w:eastAsia="Calibri" w:hAnsi="Calibri" w:cs="Arial"/>
          <w:b/>
          <w:bCs/>
          <w:sz w:val="20"/>
          <w:szCs w:val="20"/>
        </w:rPr>
        <w:t xml:space="preserve">Inner West London Coroner </w:t>
      </w:r>
    </w:p>
    <w:p w14:paraId="388647F9" w14:textId="1595F839" w:rsidR="00474423" w:rsidRDefault="00E65DB7" w:rsidP="00474423">
      <w:pPr>
        <w:jc w:val="center"/>
        <w:rPr>
          <w:rFonts w:ascii="Calibri" w:eastAsia="Calibri" w:hAnsi="Calibri" w:cs="Arial"/>
          <w:b/>
          <w:sz w:val="20"/>
          <w:szCs w:val="20"/>
        </w:rPr>
      </w:pPr>
      <w:r>
        <w:rPr>
          <w:rFonts w:ascii="Calibri" w:eastAsia="Calibri" w:hAnsi="Calibri" w:cs="Arial"/>
          <w:b/>
          <w:bCs/>
          <w:sz w:val="20"/>
          <w:szCs w:val="20"/>
        </w:rPr>
        <w:t>Prof</w:t>
      </w:r>
      <w:r w:rsidR="00474423">
        <w:rPr>
          <w:rFonts w:ascii="Calibri" w:eastAsia="Calibri" w:hAnsi="Calibri" w:cs="Arial"/>
          <w:b/>
          <w:bCs/>
          <w:sz w:val="20"/>
          <w:szCs w:val="20"/>
        </w:rPr>
        <w:t xml:space="preserve"> FIONA J WILCOX</w:t>
      </w:r>
    </w:p>
    <w:p w14:paraId="1283F11A" w14:textId="77777777" w:rsidR="00474423" w:rsidRDefault="00474423" w:rsidP="00474423">
      <w:pPr>
        <w:jc w:val="center"/>
        <w:rPr>
          <w:rFonts w:ascii="Calibri" w:eastAsia="Calibri" w:hAnsi="Calibri" w:cs="Arial"/>
          <w:b/>
          <w:sz w:val="20"/>
          <w:szCs w:val="20"/>
        </w:rPr>
      </w:pPr>
      <w:r>
        <w:rPr>
          <w:rFonts w:ascii="Calibri" w:eastAsia="Calibri" w:hAnsi="Calibri" w:cs="Arial"/>
          <w:b/>
          <w:sz w:val="20"/>
          <w:szCs w:val="20"/>
        </w:rPr>
        <w:t>HER MAJESTY’S SENIOR CORONER</w:t>
      </w:r>
    </w:p>
    <w:p w14:paraId="6AC53D85" w14:textId="0D48A06B" w:rsidR="00474423" w:rsidRDefault="00474423" w:rsidP="00474423">
      <w:pPr>
        <w:jc w:val="center"/>
        <w:rPr>
          <w:rFonts w:ascii="Calibri" w:eastAsia="Calibri" w:hAnsi="Calibri" w:cs="Arial"/>
          <w:b/>
          <w:bCs/>
          <w:sz w:val="20"/>
          <w:szCs w:val="20"/>
        </w:rPr>
      </w:pPr>
      <w:r>
        <w:rPr>
          <w:rFonts w:ascii="Calibri" w:eastAsia="Calibri" w:hAnsi="Calibri" w:cs="Arial"/>
          <w:b/>
          <w:bCs/>
          <w:sz w:val="20"/>
          <w:szCs w:val="20"/>
        </w:rPr>
        <w:t xml:space="preserve">33 Tachbrook </w:t>
      </w:r>
      <w:r w:rsidR="00557B0E">
        <w:rPr>
          <w:rFonts w:ascii="Calibri" w:eastAsia="Calibri" w:hAnsi="Calibri" w:cs="Arial"/>
          <w:b/>
          <w:bCs/>
          <w:sz w:val="20"/>
          <w:szCs w:val="20"/>
        </w:rPr>
        <w:t>Street Pimlico</w:t>
      </w:r>
      <w:r>
        <w:rPr>
          <w:rFonts w:ascii="Calibri" w:eastAsia="Calibri" w:hAnsi="Calibri" w:cs="Arial"/>
          <w:b/>
          <w:bCs/>
          <w:sz w:val="20"/>
          <w:szCs w:val="20"/>
        </w:rPr>
        <w:t xml:space="preserve"> London</w:t>
      </w:r>
      <w:r>
        <w:rPr>
          <w:rFonts w:ascii="Calibri" w:eastAsia="Calibri" w:hAnsi="Calibri" w:cs="Arial"/>
          <w:b/>
          <w:sz w:val="20"/>
          <w:szCs w:val="20"/>
        </w:rPr>
        <w:t xml:space="preserve"> </w:t>
      </w:r>
      <w:r>
        <w:rPr>
          <w:rFonts w:ascii="Calibri" w:eastAsia="Calibri" w:hAnsi="Calibri" w:cs="Arial"/>
          <w:b/>
          <w:bCs/>
          <w:sz w:val="20"/>
          <w:szCs w:val="20"/>
        </w:rPr>
        <w:t xml:space="preserve"> SW1V 2JR</w:t>
      </w:r>
    </w:p>
    <w:p w14:paraId="2BD617AC" w14:textId="77777777" w:rsidR="00474423" w:rsidRDefault="00474423" w:rsidP="00474423">
      <w:pPr>
        <w:jc w:val="center"/>
        <w:rPr>
          <w:rFonts w:ascii="Calibri" w:eastAsia="Calibri" w:hAnsi="Calibri" w:cs="Arial"/>
          <w:sz w:val="20"/>
          <w:szCs w:val="20"/>
        </w:rPr>
      </w:pPr>
      <w:r>
        <w:rPr>
          <w:rFonts w:ascii="Calibri" w:eastAsia="Calibri" w:hAnsi="Calibri" w:cs="Arial"/>
          <w:sz w:val="20"/>
          <w:szCs w:val="20"/>
        </w:rPr>
        <w:t xml:space="preserve">Telephone </w:t>
      </w:r>
      <w:r>
        <w:rPr>
          <w:rFonts w:ascii="Calibri" w:eastAsia="Calibri" w:hAnsi="Calibri" w:cs="Arial"/>
          <w:bCs/>
          <w:sz w:val="20"/>
          <w:szCs w:val="20"/>
        </w:rPr>
        <w:t>020 7641 1212</w:t>
      </w:r>
    </w:p>
    <w:p w14:paraId="4407364E" w14:textId="77777777" w:rsidR="00F42A56" w:rsidRDefault="00F42A56">
      <w:pPr>
        <w:rPr>
          <w:rFonts w:ascii="Arial" w:eastAsia="Arial" w:hAnsi="Arial" w:cs="Arial"/>
        </w:rPr>
      </w:pPr>
    </w:p>
    <w:p w14:paraId="63BB2C98" w14:textId="77777777" w:rsidR="00F42A56" w:rsidRDefault="00F42A56">
      <w:pPr>
        <w:ind w:left="720"/>
        <w:jc w:val="both"/>
        <w:rPr>
          <w:rFonts w:ascii="Arial" w:eastAsia="Arial" w:hAnsi="Arial" w:cs="Arial"/>
        </w:rPr>
      </w:pPr>
    </w:p>
    <w:p w14:paraId="1EAAB064" w14:textId="77777777" w:rsidR="00F42A56" w:rsidRDefault="00B03BF9">
      <w:pPr>
        <w:ind w:left="720"/>
        <w:jc w:val="center"/>
        <w:rPr>
          <w:rFonts w:ascii="Arial" w:eastAsia="Arial" w:hAnsi="Arial" w:cs="Arial"/>
          <w:sz w:val="28"/>
          <w:szCs w:val="28"/>
        </w:rPr>
      </w:pPr>
      <w:r>
        <w:rPr>
          <w:rFonts w:ascii="Arial" w:eastAsia="Arial" w:hAnsi="Arial" w:cs="Arial"/>
          <w:b/>
          <w:sz w:val="28"/>
          <w:szCs w:val="28"/>
        </w:rPr>
        <w:t>COVID-19 PANDEMIC- INFORMATION TO DOCTORS RE: DEATH CERTIFICATION AND REFERRAL TO CORONER</w:t>
      </w:r>
    </w:p>
    <w:p w14:paraId="153DB8C2" w14:textId="0239ADD5" w:rsidR="00F42A56" w:rsidRDefault="00B03BF9">
      <w:pPr>
        <w:ind w:left="720"/>
        <w:jc w:val="center"/>
        <w:rPr>
          <w:rFonts w:ascii="Arial" w:eastAsia="Arial" w:hAnsi="Arial" w:cs="Arial"/>
          <w:sz w:val="28"/>
          <w:szCs w:val="28"/>
        </w:rPr>
      </w:pPr>
      <w:r>
        <w:rPr>
          <w:rFonts w:ascii="Arial" w:eastAsia="Arial" w:hAnsi="Arial" w:cs="Arial"/>
          <w:b/>
          <w:sz w:val="28"/>
          <w:szCs w:val="28"/>
        </w:rPr>
        <w:t>2</w:t>
      </w:r>
      <w:r w:rsidR="008E67B1">
        <w:rPr>
          <w:rFonts w:ascii="Arial" w:eastAsia="Arial" w:hAnsi="Arial" w:cs="Arial"/>
          <w:b/>
          <w:sz w:val="28"/>
          <w:szCs w:val="28"/>
        </w:rPr>
        <w:t>6</w:t>
      </w:r>
      <w:r>
        <w:rPr>
          <w:rFonts w:ascii="Arial" w:eastAsia="Arial" w:hAnsi="Arial" w:cs="Arial"/>
          <w:b/>
          <w:sz w:val="28"/>
          <w:szCs w:val="28"/>
          <w:vertAlign w:val="superscript"/>
        </w:rPr>
        <w:t>TH</w:t>
      </w:r>
      <w:r>
        <w:rPr>
          <w:rFonts w:ascii="Arial" w:eastAsia="Arial" w:hAnsi="Arial" w:cs="Arial"/>
          <w:b/>
          <w:sz w:val="28"/>
          <w:szCs w:val="28"/>
        </w:rPr>
        <w:t xml:space="preserve"> MARCH 2020</w:t>
      </w:r>
    </w:p>
    <w:p w14:paraId="7BE5A870" w14:textId="77777777" w:rsidR="00F42A56" w:rsidRDefault="00F42A56">
      <w:pPr>
        <w:ind w:left="720"/>
        <w:jc w:val="both"/>
        <w:rPr>
          <w:rFonts w:ascii="Arial" w:eastAsia="Arial" w:hAnsi="Arial" w:cs="Arial"/>
        </w:rPr>
      </w:pPr>
    </w:p>
    <w:p w14:paraId="347BD935" w14:textId="77777777" w:rsidR="00F42A56" w:rsidRDefault="00F42A56">
      <w:pPr>
        <w:ind w:left="720"/>
        <w:jc w:val="both"/>
        <w:rPr>
          <w:rFonts w:ascii="Arial" w:eastAsia="Arial" w:hAnsi="Arial" w:cs="Arial"/>
        </w:rPr>
      </w:pPr>
    </w:p>
    <w:p w14:paraId="0E489E4C" w14:textId="77777777" w:rsidR="00F42A56" w:rsidRDefault="00F42A56">
      <w:pPr>
        <w:ind w:left="720"/>
        <w:jc w:val="both"/>
        <w:rPr>
          <w:rFonts w:ascii="Arial" w:eastAsia="Arial" w:hAnsi="Arial" w:cs="Arial"/>
        </w:rPr>
      </w:pPr>
    </w:p>
    <w:p w14:paraId="12ED8D7F" w14:textId="77777777" w:rsidR="00F42A56" w:rsidRDefault="00F42A56">
      <w:pPr>
        <w:ind w:left="720"/>
        <w:jc w:val="both"/>
        <w:rPr>
          <w:rFonts w:ascii="Arial" w:eastAsia="Arial" w:hAnsi="Arial" w:cs="Arial"/>
        </w:rPr>
      </w:pPr>
    </w:p>
    <w:p w14:paraId="3E5A0A58" w14:textId="77777777" w:rsidR="00F42A56" w:rsidRDefault="00B03BF9">
      <w:pPr>
        <w:numPr>
          <w:ilvl w:val="0"/>
          <w:numId w:val="1"/>
        </w:numPr>
        <w:ind w:left="720"/>
        <w:jc w:val="both"/>
        <w:rPr>
          <w:rFonts w:ascii="Arial" w:eastAsia="Arial" w:hAnsi="Arial" w:cs="Arial"/>
        </w:rPr>
      </w:pPr>
      <w:r>
        <w:rPr>
          <w:rFonts w:ascii="Arial" w:eastAsia="Arial" w:hAnsi="Arial" w:cs="Arial"/>
        </w:rPr>
        <w:t>The Coroners’ Service has received many enquiries from General Practitioners about death certification and best practice in terms of attending their elderly patients who are in residential or nursing home settings during the pandemic.</w:t>
      </w:r>
    </w:p>
    <w:p w14:paraId="1F4B9734" w14:textId="77777777" w:rsidR="00F42A56" w:rsidRDefault="00F42A56">
      <w:pPr>
        <w:ind w:left="720"/>
        <w:jc w:val="both"/>
        <w:rPr>
          <w:rFonts w:ascii="Arial" w:eastAsia="Arial" w:hAnsi="Arial" w:cs="Arial"/>
        </w:rPr>
      </w:pPr>
    </w:p>
    <w:p w14:paraId="31F47970" w14:textId="77777777" w:rsidR="00F42A56" w:rsidRDefault="00B03BF9">
      <w:pPr>
        <w:numPr>
          <w:ilvl w:val="0"/>
          <w:numId w:val="1"/>
        </w:numPr>
        <w:ind w:left="720"/>
        <w:jc w:val="both"/>
        <w:rPr>
          <w:rFonts w:ascii="Arial" w:eastAsia="Arial" w:hAnsi="Arial" w:cs="Arial"/>
        </w:rPr>
      </w:pPr>
      <w:r>
        <w:rPr>
          <w:rFonts w:ascii="Arial" w:eastAsia="Arial" w:hAnsi="Arial" w:cs="Arial"/>
        </w:rPr>
        <w:t>This document is intended to assist by providing information to doctors from the perspective of the Coroner. It is given with the caveat that it is not for the Coroner to advise General Practitioners how to conduct their practices; these are issues for the General Medical Council and the British Medical Association from whom such advice should be sought.</w:t>
      </w:r>
    </w:p>
    <w:p w14:paraId="0AE38579" w14:textId="77777777" w:rsidR="00F42A56" w:rsidRDefault="00F42A56">
      <w:pPr>
        <w:pBdr>
          <w:top w:val="nil"/>
          <w:left w:val="nil"/>
          <w:bottom w:val="nil"/>
          <w:right w:val="nil"/>
          <w:between w:val="nil"/>
        </w:pBdr>
        <w:ind w:left="720" w:hanging="720"/>
        <w:rPr>
          <w:rFonts w:ascii="Arial" w:eastAsia="Arial" w:hAnsi="Arial" w:cs="Arial"/>
          <w:color w:val="000000"/>
        </w:rPr>
      </w:pPr>
    </w:p>
    <w:p w14:paraId="558426E2" w14:textId="77777777" w:rsidR="00F42A56" w:rsidRDefault="00B03BF9">
      <w:pPr>
        <w:pBdr>
          <w:top w:val="nil"/>
          <w:left w:val="nil"/>
          <w:bottom w:val="nil"/>
          <w:right w:val="nil"/>
          <w:between w:val="nil"/>
        </w:pBdr>
        <w:ind w:left="720" w:hanging="720"/>
        <w:rPr>
          <w:rFonts w:ascii="Arial" w:eastAsia="Arial" w:hAnsi="Arial" w:cs="Arial"/>
          <w:color w:val="000000"/>
        </w:rPr>
      </w:pPr>
      <w:r>
        <w:rPr>
          <w:rFonts w:ascii="Arial" w:eastAsia="Arial" w:hAnsi="Arial" w:cs="Arial"/>
          <w:b/>
          <w:color w:val="000000"/>
        </w:rPr>
        <w:t>Completion of the Medical Certificate of the Cause of Death (MCCD)</w:t>
      </w:r>
    </w:p>
    <w:p w14:paraId="49D48138" w14:textId="77777777" w:rsidR="00F42A56" w:rsidRDefault="00F42A56">
      <w:pPr>
        <w:pBdr>
          <w:top w:val="nil"/>
          <w:left w:val="nil"/>
          <w:bottom w:val="nil"/>
          <w:right w:val="nil"/>
          <w:between w:val="nil"/>
        </w:pBdr>
        <w:ind w:left="720" w:hanging="720"/>
        <w:rPr>
          <w:rFonts w:ascii="Arial" w:eastAsia="Arial" w:hAnsi="Arial" w:cs="Arial"/>
          <w:color w:val="000000"/>
        </w:rPr>
      </w:pPr>
    </w:p>
    <w:p w14:paraId="786E285E" w14:textId="77777777" w:rsidR="00F42A56" w:rsidRDefault="00B03BF9">
      <w:pPr>
        <w:numPr>
          <w:ilvl w:val="0"/>
          <w:numId w:val="1"/>
        </w:numPr>
        <w:ind w:left="720"/>
        <w:jc w:val="both"/>
        <w:rPr>
          <w:rFonts w:ascii="Arial" w:eastAsia="Arial" w:hAnsi="Arial" w:cs="Arial"/>
        </w:rPr>
      </w:pPr>
      <w:r>
        <w:rPr>
          <w:rFonts w:ascii="Arial" w:eastAsia="Arial" w:hAnsi="Arial" w:cs="Arial"/>
        </w:rPr>
        <w:t>The doctor who attended the deceased during their last illness has a legal duty to complete a MCCD and arrange for delivery of it to the relevant registrar as soon as possible to enable the registration to take place</w:t>
      </w:r>
      <w:r>
        <w:rPr>
          <w:rFonts w:ascii="Arial" w:eastAsia="Arial" w:hAnsi="Arial" w:cs="Arial"/>
          <w:vertAlign w:val="superscript"/>
        </w:rPr>
        <w:footnoteReference w:id="1"/>
      </w:r>
      <w:r>
        <w:rPr>
          <w:rFonts w:ascii="Arial" w:eastAsia="Arial" w:hAnsi="Arial" w:cs="Arial"/>
        </w:rPr>
        <w:t xml:space="preserve">. </w:t>
      </w:r>
    </w:p>
    <w:p w14:paraId="350F94FC" w14:textId="77777777" w:rsidR="00F42A56" w:rsidRDefault="00F42A56">
      <w:pPr>
        <w:ind w:left="720"/>
        <w:jc w:val="both"/>
        <w:rPr>
          <w:rFonts w:ascii="Arial" w:eastAsia="Arial" w:hAnsi="Arial" w:cs="Arial"/>
        </w:rPr>
      </w:pPr>
    </w:p>
    <w:p w14:paraId="31D364AF" w14:textId="77777777" w:rsidR="00F42A56" w:rsidRDefault="00B03BF9">
      <w:pPr>
        <w:numPr>
          <w:ilvl w:val="0"/>
          <w:numId w:val="1"/>
        </w:numPr>
        <w:ind w:left="720"/>
        <w:jc w:val="both"/>
        <w:rPr>
          <w:rFonts w:ascii="Arial" w:eastAsia="Arial" w:hAnsi="Arial" w:cs="Arial"/>
        </w:rPr>
      </w:pPr>
      <w:r>
        <w:rPr>
          <w:rFonts w:ascii="Arial" w:eastAsia="Arial" w:hAnsi="Arial" w:cs="Arial"/>
        </w:rPr>
        <w:t>There is no clear legal definition of ‘attended’, but it is generally accepted to mean a doctor who has cared for the patient during the illness that led to death and so is familiar with the patient’s medical history, investigations and treatment</w:t>
      </w:r>
      <w:r>
        <w:rPr>
          <w:rFonts w:ascii="Arial" w:eastAsia="Arial" w:hAnsi="Arial" w:cs="Arial"/>
          <w:vertAlign w:val="superscript"/>
        </w:rPr>
        <w:footnoteReference w:id="2"/>
      </w:r>
      <w:r>
        <w:rPr>
          <w:rFonts w:ascii="Arial" w:eastAsia="Arial" w:hAnsi="Arial" w:cs="Arial"/>
        </w:rPr>
        <w:t>.</w:t>
      </w:r>
    </w:p>
    <w:p w14:paraId="15CA5EF3" w14:textId="77777777" w:rsidR="00F42A56" w:rsidRDefault="00F42A56">
      <w:pPr>
        <w:pBdr>
          <w:top w:val="nil"/>
          <w:left w:val="nil"/>
          <w:bottom w:val="nil"/>
          <w:right w:val="nil"/>
          <w:between w:val="nil"/>
        </w:pBdr>
        <w:ind w:left="720" w:hanging="720"/>
        <w:rPr>
          <w:rFonts w:ascii="Arial" w:eastAsia="Arial" w:hAnsi="Arial" w:cs="Arial"/>
          <w:color w:val="000000"/>
        </w:rPr>
      </w:pPr>
    </w:p>
    <w:p w14:paraId="0FA94DCC" w14:textId="77777777" w:rsidR="00F42A56" w:rsidRDefault="00B03BF9">
      <w:pPr>
        <w:numPr>
          <w:ilvl w:val="0"/>
          <w:numId w:val="1"/>
        </w:numPr>
        <w:ind w:left="720"/>
        <w:jc w:val="both"/>
        <w:rPr>
          <w:rFonts w:ascii="Arial" w:eastAsia="Arial" w:hAnsi="Arial" w:cs="Arial"/>
        </w:rPr>
      </w:pPr>
      <w:r>
        <w:rPr>
          <w:rFonts w:ascii="Arial" w:eastAsia="Arial" w:hAnsi="Arial" w:cs="Arial"/>
        </w:rPr>
        <w:t>It is arguable therefore that ‘attended’ could include video or telephone consultations as well as those in person.</w:t>
      </w:r>
    </w:p>
    <w:p w14:paraId="6D1A4374" w14:textId="77777777" w:rsidR="00F42A56" w:rsidRDefault="00F42A56">
      <w:pPr>
        <w:pBdr>
          <w:top w:val="nil"/>
          <w:left w:val="nil"/>
          <w:bottom w:val="nil"/>
          <w:right w:val="nil"/>
          <w:between w:val="nil"/>
        </w:pBdr>
        <w:ind w:left="720" w:hanging="720"/>
        <w:rPr>
          <w:rFonts w:ascii="Arial" w:eastAsia="Arial" w:hAnsi="Arial" w:cs="Arial"/>
          <w:color w:val="000000"/>
        </w:rPr>
      </w:pPr>
    </w:p>
    <w:p w14:paraId="239AA9C3" w14:textId="77777777" w:rsidR="00F42A56" w:rsidRDefault="00B03BF9">
      <w:pPr>
        <w:numPr>
          <w:ilvl w:val="0"/>
          <w:numId w:val="1"/>
        </w:numPr>
        <w:ind w:left="720"/>
        <w:jc w:val="both"/>
        <w:rPr>
          <w:rFonts w:ascii="Arial" w:eastAsia="Arial" w:hAnsi="Arial" w:cs="Arial"/>
        </w:rPr>
      </w:pPr>
      <w:r>
        <w:rPr>
          <w:rFonts w:ascii="Arial" w:eastAsia="Arial" w:hAnsi="Arial" w:cs="Arial"/>
        </w:rPr>
        <w:t>The British Medical Association may have their own interpretation of what constitutes ‘attendance’.</w:t>
      </w:r>
    </w:p>
    <w:p w14:paraId="7F6F519D" w14:textId="77777777" w:rsidR="00F42A56" w:rsidRDefault="00F42A56">
      <w:pPr>
        <w:pBdr>
          <w:top w:val="nil"/>
          <w:left w:val="nil"/>
          <w:bottom w:val="nil"/>
          <w:right w:val="nil"/>
          <w:between w:val="nil"/>
        </w:pBdr>
        <w:ind w:left="720" w:hanging="720"/>
        <w:rPr>
          <w:rFonts w:ascii="Arial" w:eastAsia="Arial" w:hAnsi="Arial" w:cs="Arial"/>
          <w:color w:val="000000"/>
        </w:rPr>
      </w:pPr>
    </w:p>
    <w:p w14:paraId="6C9AE194" w14:textId="77777777" w:rsidR="00F42A56" w:rsidRDefault="00F42A56">
      <w:pPr>
        <w:pBdr>
          <w:top w:val="nil"/>
          <w:left w:val="nil"/>
          <w:bottom w:val="nil"/>
          <w:right w:val="nil"/>
          <w:between w:val="nil"/>
        </w:pBdr>
        <w:ind w:left="720" w:hanging="720"/>
        <w:rPr>
          <w:rFonts w:ascii="Arial" w:eastAsia="Arial" w:hAnsi="Arial" w:cs="Arial"/>
          <w:color w:val="000000"/>
        </w:rPr>
      </w:pPr>
    </w:p>
    <w:p w14:paraId="0CCCDA30" w14:textId="77777777" w:rsidR="00F42A56" w:rsidRDefault="00F42A56">
      <w:pPr>
        <w:pBdr>
          <w:top w:val="nil"/>
          <w:left w:val="nil"/>
          <w:bottom w:val="nil"/>
          <w:right w:val="nil"/>
          <w:between w:val="nil"/>
        </w:pBdr>
        <w:ind w:left="720" w:hanging="720"/>
        <w:rPr>
          <w:rFonts w:ascii="Arial" w:eastAsia="Arial" w:hAnsi="Arial" w:cs="Arial"/>
          <w:color w:val="000000"/>
        </w:rPr>
      </w:pPr>
    </w:p>
    <w:p w14:paraId="29DB1AD0" w14:textId="77777777" w:rsidR="00F42A56" w:rsidRDefault="00F42A56">
      <w:pPr>
        <w:pBdr>
          <w:top w:val="nil"/>
          <w:left w:val="nil"/>
          <w:bottom w:val="nil"/>
          <w:right w:val="nil"/>
          <w:between w:val="nil"/>
        </w:pBdr>
        <w:ind w:left="720" w:hanging="720"/>
        <w:rPr>
          <w:rFonts w:ascii="Arial" w:eastAsia="Arial" w:hAnsi="Arial" w:cs="Arial"/>
          <w:color w:val="000000"/>
        </w:rPr>
      </w:pPr>
    </w:p>
    <w:p w14:paraId="55A059F4" w14:textId="77777777" w:rsidR="00F42A56" w:rsidRDefault="00F42A56">
      <w:pPr>
        <w:pBdr>
          <w:top w:val="nil"/>
          <w:left w:val="nil"/>
          <w:bottom w:val="nil"/>
          <w:right w:val="nil"/>
          <w:between w:val="nil"/>
        </w:pBdr>
        <w:ind w:left="720" w:hanging="720"/>
        <w:rPr>
          <w:rFonts w:ascii="Arial" w:eastAsia="Arial" w:hAnsi="Arial" w:cs="Arial"/>
          <w:color w:val="000000"/>
        </w:rPr>
      </w:pPr>
    </w:p>
    <w:p w14:paraId="03A7CEEB" w14:textId="77777777" w:rsidR="00F42A56" w:rsidRDefault="00F42A56">
      <w:pPr>
        <w:pBdr>
          <w:top w:val="nil"/>
          <w:left w:val="nil"/>
          <w:bottom w:val="nil"/>
          <w:right w:val="nil"/>
          <w:between w:val="nil"/>
        </w:pBdr>
        <w:ind w:left="720" w:hanging="720"/>
        <w:rPr>
          <w:rFonts w:ascii="Arial" w:eastAsia="Arial" w:hAnsi="Arial" w:cs="Arial"/>
          <w:color w:val="000000"/>
        </w:rPr>
      </w:pPr>
    </w:p>
    <w:p w14:paraId="57B9C8B7" w14:textId="77777777" w:rsidR="00F42A56" w:rsidRDefault="00F42A56">
      <w:pPr>
        <w:pBdr>
          <w:top w:val="nil"/>
          <w:left w:val="nil"/>
          <w:bottom w:val="nil"/>
          <w:right w:val="nil"/>
          <w:between w:val="nil"/>
        </w:pBdr>
        <w:ind w:left="720" w:hanging="720"/>
        <w:rPr>
          <w:rFonts w:ascii="Arial" w:eastAsia="Arial" w:hAnsi="Arial" w:cs="Arial"/>
          <w:color w:val="000000"/>
        </w:rPr>
      </w:pPr>
    </w:p>
    <w:p w14:paraId="0D55E8EE" w14:textId="77777777" w:rsidR="00F42A56" w:rsidRDefault="00B03BF9">
      <w:pPr>
        <w:numPr>
          <w:ilvl w:val="0"/>
          <w:numId w:val="1"/>
        </w:numPr>
        <w:ind w:left="720"/>
        <w:jc w:val="both"/>
        <w:rPr>
          <w:rFonts w:ascii="Arial" w:eastAsia="Arial" w:hAnsi="Arial" w:cs="Arial"/>
        </w:rPr>
      </w:pPr>
      <w:r>
        <w:rPr>
          <w:rFonts w:ascii="Arial" w:eastAsia="Arial" w:hAnsi="Arial" w:cs="Arial"/>
        </w:rPr>
        <w:t>The current legislation requires a doctor to issue a MCCD if:</w:t>
      </w:r>
    </w:p>
    <w:p w14:paraId="33D59AC6" w14:textId="77777777" w:rsidR="00F42A56" w:rsidRDefault="00F42A56">
      <w:pPr>
        <w:ind w:left="720"/>
        <w:jc w:val="both"/>
        <w:rPr>
          <w:rFonts w:ascii="Arial" w:eastAsia="Arial" w:hAnsi="Arial" w:cs="Arial"/>
        </w:rPr>
      </w:pPr>
    </w:p>
    <w:p w14:paraId="249F6D22" w14:textId="77777777" w:rsidR="00F42A56" w:rsidRDefault="00B03BF9">
      <w:pPr>
        <w:numPr>
          <w:ilvl w:val="0"/>
          <w:numId w:val="2"/>
        </w:numPr>
        <w:jc w:val="both"/>
      </w:pPr>
      <w:r>
        <w:rPr>
          <w:rFonts w:ascii="Arial" w:eastAsia="Arial" w:hAnsi="Arial" w:cs="Arial"/>
        </w:rPr>
        <w:t>He or she is satisfied that they can state the correct cause of death</w:t>
      </w:r>
      <w:r>
        <w:rPr>
          <w:rFonts w:ascii="Arial" w:eastAsia="Arial" w:hAnsi="Arial" w:cs="Arial"/>
          <w:vertAlign w:val="superscript"/>
        </w:rPr>
        <w:footnoteReference w:id="3"/>
      </w:r>
      <w:r>
        <w:rPr>
          <w:rFonts w:ascii="Arial" w:eastAsia="Arial" w:hAnsi="Arial" w:cs="Arial"/>
        </w:rPr>
        <w:t xml:space="preserve"> </w:t>
      </w:r>
      <w:r>
        <w:rPr>
          <w:rFonts w:ascii="Arial" w:eastAsia="Arial" w:hAnsi="Arial" w:cs="Arial"/>
          <w:i/>
        </w:rPr>
        <w:t>and</w:t>
      </w:r>
    </w:p>
    <w:p w14:paraId="132A649B" w14:textId="77777777" w:rsidR="00F42A56" w:rsidRDefault="00B03BF9">
      <w:pPr>
        <w:numPr>
          <w:ilvl w:val="0"/>
          <w:numId w:val="2"/>
        </w:numPr>
        <w:jc w:val="both"/>
      </w:pPr>
      <w:r>
        <w:rPr>
          <w:rFonts w:ascii="Arial" w:eastAsia="Arial" w:hAnsi="Arial" w:cs="Arial"/>
        </w:rPr>
        <w:t xml:space="preserve">The cause of death is entirely natural </w:t>
      </w:r>
      <w:r>
        <w:rPr>
          <w:rFonts w:ascii="Arial" w:eastAsia="Arial" w:hAnsi="Arial" w:cs="Arial"/>
          <w:i/>
        </w:rPr>
        <w:t>and either</w:t>
      </w:r>
      <w:r>
        <w:rPr>
          <w:rFonts w:ascii="Arial" w:eastAsia="Arial" w:hAnsi="Arial" w:cs="Arial"/>
        </w:rPr>
        <w:t>:</w:t>
      </w:r>
    </w:p>
    <w:p w14:paraId="5C624B13" w14:textId="77777777" w:rsidR="00F42A56" w:rsidRDefault="00B03BF9">
      <w:pPr>
        <w:numPr>
          <w:ilvl w:val="0"/>
          <w:numId w:val="2"/>
        </w:numPr>
        <w:jc w:val="both"/>
      </w:pPr>
      <w:r>
        <w:rPr>
          <w:rFonts w:ascii="Arial" w:eastAsia="Arial" w:hAnsi="Arial" w:cs="Arial"/>
        </w:rPr>
        <w:t xml:space="preserve">The attendance was during the previous 14 days </w:t>
      </w:r>
      <w:r>
        <w:rPr>
          <w:rFonts w:ascii="Arial" w:eastAsia="Arial" w:hAnsi="Arial" w:cs="Arial"/>
          <w:i/>
        </w:rPr>
        <w:t>or</w:t>
      </w:r>
    </w:p>
    <w:p w14:paraId="41E6FDA8" w14:textId="77777777" w:rsidR="00F42A56" w:rsidRDefault="00B03BF9">
      <w:pPr>
        <w:numPr>
          <w:ilvl w:val="0"/>
          <w:numId w:val="2"/>
        </w:numPr>
        <w:jc w:val="both"/>
      </w:pPr>
      <w:r>
        <w:rPr>
          <w:rFonts w:ascii="Arial" w:eastAsia="Arial" w:hAnsi="Arial" w:cs="Arial"/>
        </w:rPr>
        <w:t>He or she has viewed the body after death</w:t>
      </w:r>
    </w:p>
    <w:p w14:paraId="559DE322" w14:textId="77777777" w:rsidR="00F42A56" w:rsidRDefault="00F42A56">
      <w:pPr>
        <w:ind w:left="720"/>
        <w:jc w:val="both"/>
        <w:rPr>
          <w:rFonts w:ascii="Arial" w:eastAsia="Arial" w:hAnsi="Arial" w:cs="Arial"/>
        </w:rPr>
      </w:pPr>
    </w:p>
    <w:p w14:paraId="251F65AC" w14:textId="0629819D" w:rsidR="00F42A56" w:rsidRDefault="00B03BF9">
      <w:pPr>
        <w:numPr>
          <w:ilvl w:val="0"/>
          <w:numId w:val="1"/>
        </w:numPr>
        <w:ind w:left="720"/>
        <w:jc w:val="both"/>
        <w:rPr>
          <w:rFonts w:ascii="Arial" w:eastAsia="Arial" w:hAnsi="Arial" w:cs="Arial"/>
        </w:rPr>
      </w:pPr>
      <w:r>
        <w:rPr>
          <w:rFonts w:ascii="Arial" w:eastAsia="Arial" w:hAnsi="Arial" w:cs="Arial"/>
        </w:rPr>
        <w:t>Emergency Legislation</w:t>
      </w:r>
      <w:r w:rsidR="00776FFE">
        <w:rPr>
          <w:rFonts w:ascii="Arial" w:eastAsia="Arial" w:hAnsi="Arial" w:cs="Arial"/>
        </w:rPr>
        <w:t xml:space="preserve"> which received </w:t>
      </w:r>
      <w:r w:rsidR="00685B5E">
        <w:rPr>
          <w:rFonts w:ascii="Arial" w:eastAsia="Arial" w:hAnsi="Arial" w:cs="Arial"/>
        </w:rPr>
        <w:t xml:space="preserve">Royal Assent </w:t>
      </w:r>
      <w:r w:rsidR="00BF12DD">
        <w:rPr>
          <w:rFonts w:ascii="Arial" w:eastAsia="Arial" w:hAnsi="Arial" w:cs="Arial"/>
        </w:rPr>
        <w:t>on 25</w:t>
      </w:r>
      <w:r w:rsidR="00BF12DD" w:rsidRPr="00BF12DD">
        <w:rPr>
          <w:rFonts w:ascii="Arial" w:eastAsia="Arial" w:hAnsi="Arial" w:cs="Arial"/>
          <w:vertAlign w:val="superscript"/>
        </w:rPr>
        <w:t>th</w:t>
      </w:r>
      <w:r w:rsidR="00BF12DD">
        <w:rPr>
          <w:rFonts w:ascii="Arial" w:eastAsia="Arial" w:hAnsi="Arial" w:cs="Arial"/>
        </w:rPr>
        <w:t xml:space="preserve"> March 2020</w:t>
      </w:r>
      <w:r w:rsidR="00685B5E">
        <w:rPr>
          <w:rFonts w:ascii="Arial" w:eastAsia="Arial" w:hAnsi="Arial" w:cs="Arial"/>
        </w:rPr>
        <w:t>, has mad</w:t>
      </w:r>
      <w:r w:rsidR="008B64BB">
        <w:rPr>
          <w:rFonts w:ascii="Arial" w:eastAsia="Arial" w:hAnsi="Arial" w:cs="Arial"/>
        </w:rPr>
        <w:t xml:space="preserve">e </w:t>
      </w:r>
      <w:r>
        <w:rPr>
          <w:rFonts w:ascii="Arial" w:eastAsia="Arial" w:hAnsi="Arial" w:cs="Arial"/>
        </w:rPr>
        <w:t>make temporary modifications of legislation such that:</w:t>
      </w:r>
    </w:p>
    <w:p w14:paraId="408C348D" w14:textId="77777777" w:rsidR="00F42A56" w:rsidRDefault="00F42A56">
      <w:pPr>
        <w:ind w:left="720"/>
        <w:jc w:val="both"/>
        <w:rPr>
          <w:rFonts w:ascii="Arial" w:eastAsia="Arial" w:hAnsi="Arial" w:cs="Arial"/>
        </w:rPr>
      </w:pPr>
    </w:p>
    <w:p w14:paraId="5DC8E07C" w14:textId="77777777" w:rsidR="00F42A56" w:rsidRDefault="00B03BF9">
      <w:pPr>
        <w:numPr>
          <w:ilvl w:val="0"/>
          <w:numId w:val="3"/>
        </w:numPr>
        <w:jc w:val="both"/>
        <w:rPr>
          <w:rFonts w:ascii="Arial" w:eastAsia="Arial" w:hAnsi="Arial" w:cs="Arial"/>
        </w:rPr>
      </w:pPr>
      <w:r>
        <w:rPr>
          <w:rFonts w:ascii="Arial" w:eastAsia="Arial" w:hAnsi="Arial" w:cs="Arial"/>
        </w:rPr>
        <w:t>A registered medical practitioner who is not the practitioner who attended the deceased during their last illness may sign a MCCD if:</w:t>
      </w:r>
    </w:p>
    <w:p w14:paraId="7E58D806" w14:textId="77777777" w:rsidR="00F42A56" w:rsidRDefault="00F42A56">
      <w:pPr>
        <w:ind w:left="1440"/>
        <w:jc w:val="both"/>
        <w:rPr>
          <w:rFonts w:ascii="Arial" w:eastAsia="Arial" w:hAnsi="Arial" w:cs="Arial"/>
        </w:rPr>
      </w:pPr>
    </w:p>
    <w:p w14:paraId="31645C5C" w14:textId="77777777" w:rsidR="00F42A56" w:rsidRDefault="00B03BF9">
      <w:pPr>
        <w:numPr>
          <w:ilvl w:val="0"/>
          <w:numId w:val="4"/>
        </w:numPr>
        <w:jc w:val="both"/>
      </w:pPr>
      <w:r>
        <w:rPr>
          <w:rFonts w:ascii="Arial" w:eastAsia="Arial" w:hAnsi="Arial" w:cs="Arial"/>
        </w:rPr>
        <w:t xml:space="preserve">The practitioner who attended is unable to sign the MCCD or it is impractical for them to do so </w:t>
      </w:r>
      <w:r>
        <w:rPr>
          <w:rFonts w:ascii="Arial" w:eastAsia="Arial" w:hAnsi="Arial" w:cs="Arial"/>
          <w:i/>
        </w:rPr>
        <w:t>and</w:t>
      </w:r>
    </w:p>
    <w:p w14:paraId="72380AC3" w14:textId="4731972E" w:rsidR="00F42A56" w:rsidRDefault="00B03BF9">
      <w:pPr>
        <w:numPr>
          <w:ilvl w:val="0"/>
          <w:numId w:val="4"/>
        </w:numPr>
        <w:jc w:val="both"/>
      </w:pPr>
      <w:r>
        <w:rPr>
          <w:rFonts w:ascii="Arial" w:eastAsia="Arial" w:hAnsi="Arial" w:cs="Arial"/>
        </w:rPr>
        <w:t xml:space="preserve">The medical practitioner who proposes to sign the MCCD is able to state to the best of their knowledge and </w:t>
      </w:r>
      <w:r w:rsidR="008B64BB">
        <w:rPr>
          <w:rFonts w:ascii="Arial" w:eastAsia="Arial" w:hAnsi="Arial" w:cs="Arial"/>
        </w:rPr>
        <w:t xml:space="preserve">belief </w:t>
      </w:r>
      <w:r>
        <w:rPr>
          <w:rFonts w:ascii="Arial" w:eastAsia="Arial" w:hAnsi="Arial" w:cs="Arial"/>
        </w:rPr>
        <w:t>the cause of death</w:t>
      </w:r>
      <w:r w:rsidR="00AC11CA">
        <w:rPr>
          <w:rFonts w:ascii="Arial" w:eastAsia="Arial" w:hAnsi="Arial" w:cs="Arial"/>
        </w:rPr>
        <w:t>.</w:t>
      </w:r>
    </w:p>
    <w:p w14:paraId="6B01D6C5" w14:textId="77777777" w:rsidR="00F42A56" w:rsidRDefault="00F42A56">
      <w:pPr>
        <w:ind w:left="1440"/>
        <w:jc w:val="both"/>
        <w:rPr>
          <w:rFonts w:ascii="Arial" w:eastAsia="Arial" w:hAnsi="Arial" w:cs="Arial"/>
        </w:rPr>
      </w:pPr>
    </w:p>
    <w:p w14:paraId="40992E31" w14:textId="56E26B0C" w:rsidR="00F42A56" w:rsidRDefault="00B03BF9">
      <w:pPr>
        <w:numPr>
          <w:ilvl w:val="0"/>
          <w:numId w:val="3"/>
        </w:numPr>
        <w:jc w:val="both"/>
        <w:rPr>
          <w:rFonts w:ascii="Arial" w:eastAsia="Arial" w:hAnsi="Arial" w:cs="Arial"/>
        </w:rPr>
      </w:pPr>
      <w:r>
        <w:rPr>
          <w:rFonts w:ascii="Arial" w:eastAsia="Arial" w:hAnsi="Arial" w:cs="Arial"/>
        </w:rPr>
        <w:t>A registered medical practitioner may sign a MCCD even in the case of a person who has not been attended during their last illness by a registered medical practitioner if they are able to state to the best of their knowledge and belief the cause of death</w:t>
      </w:r>
      <w:r w:rsidR="00AC11CA">
        <w:rPr>
          <w:rFonts w:ascii="Arial" w:eastAsia="Arial" w:hAnsi="Arial" w:cs="Arial"/>
        </w:rPr>
        <w:t>.</w:t>
      </w:r>
    </w:p>
    <w:p w14:paraId="4F8DD38F" w14:textId="77777777" w:rsidR="00F42A56" w:rsidRDefault="00F42A56">
      <w:pPr>
        <w:ind w:left="1440"/>
        <w:jc w:val="both"/>
        <w:rPr>
          <w:rFonts w:ascii="Arial" w:eastAsia="Arial" w:hAnsi="Arial" w:cs="Arial"/>
        </w:rPr>
      </w:pPr>
    </w:p>
    <w:p w14:paraId="0EF9F2EA" w14:textId="60812E84" w:rsidR="00F42A56" w:rsidRDefault="00B03BF9">
      <w:pPr>
        <w:numPr>
          <w:ilvl w:val="0"/>
          <w:numId w:val="3"/>
        </w:numPr>
        <w:jc w:val="both"/>
        <w:rPr>
          <w:rFonts w:ascii="Arial" w:eastAsia="Arial" w:hAnsi="Arial" w:cs="Arial"/>
        </w:rPr>
      </w:pPr>
      <w:r>
        <w:rPr>
          <w:rFonts w:ascii="Arial" w:eastAsia="Arial" w:hAnsi="Arial" w:cs="Arial"/>
        </w:rPr>
        <w:t>The requirement for the deceased to have been attended within 14 days of the death occurring is extended to 28 days</w:t>
      </w:r>
      <w:r w:rsidR="00AC11CA">
        <w:rPr>
          <w:rFonts w:ascii="Arial" w:eastAsia="Arial" w:hAnsi="Arial" w:cs="Arial"/>
        </w:rPr>
        <w:t>.</w:t>
      </w:r>
    </w:p>
    <w:p w14:paraId="261BB9EE" w14:textId="77777777" w:rsidR="00E65DB7" w:rsidRDefault="00E65DB7" w:rsidP="00E65DB7">
      <w:pPr>
        <w:pStyle w:val="ListParagraph"/>
        <w:rPr>
          <w:rFonts w:ascii="Arial" w:eastAsia="Arial" w:hAnsi="Arial" w:cs="Arial"/>
        </w:rPr>
      </w:pPr>
    </w:p>
    <w:p w14:paraId="4AB1E7F0" w14:textId="62B76307" w:rsidR="00E65DB7" w:rsidRDefault="0073733C">
      <w:pPr>
        <w:numPr>
          <w:ilvl w:val="0"/>
          <w:numId w:val="3"/>
        </w:numPr>
        <w:jc w:val="both"/>
        <w:rPr>
          <w:rFonts w:ascii="Arial" w:eastAsia="Arial" w:hAnsi="Arial" w:cs="Arial"/>
        </w:rPr>
      </w:pPr>
      <w:r>
        <w:rPr>
          <w:rFonts w:ascii="Arial" w:eastAsia="Arial" w:hAnsi="Arial" w:cs="Arial"/>
        </w:rPr>
        <w:t xml:space="preserve">The understanding is that where an MCCD has been issued without </w:t>
      </w:r>
      <w:r w:rsidR="00124525">
        <w:rPr>
          <w:rFonts w:ascii="Arial" w:eastAsia="Arial" w:hAnsi="Arial" w:cs="Arial"/>
        </w:rPr>
        <w:t>a medical practitioner having seen the deceased, the Registrar will refer that death to the local coroner, who may issue a Form A to allow re</w:t>
      </w:r>
      <w:r w:rsidR="0006199B">
        <w:rPr>
          <w:rFonts w:ascii="Arial" w:eastAsia="Arial" w:hAnsi="Arial" w:cs="Arial"/>
        </w:rPr>
        <w:t>gistration of the death, if that coroner is satisfied that it is legally app</w:t>
      </w:r>
      <w:r w:rsidR="00242401">
        <w:rPr>
          <w:rFonts w:ascii="Arial" w:eastAsia="Arial" w:hAnsi="Arial" w:cs="Arial"/>
        </w:rPr>
        <w:t>ropriate to do so. Further guidance is expected from governm</w:t>
      </w:r>
      <w:r w:rsidR="00AC11CA">
        <w:rPr>
          <w:rFonts w:ascii="Arial" w:eastAsia="Arial" w:hAnsi="Arial" w:cs="Arial"/>
        </w:rPr>
        <w:t>ent on these matters.</w:t>
      </w:r>
    </w:p>
    <w:p w14:paraId="25E8A5F2" w14:textId="77777777" w:rsidR="00F42A56" w:rsidRDefault="00F42A56">
      <w:pPr>
        <w:ind w:left="1440"/>
        <w:jc w:val="both"/>
        <w:rPr>
          <w:rFonts w:ascii="Arial" w:eastAsia="Arial" w:hAnsi="Arial" w:cs="Arial"/>
        </w:rPr>
      </w:pPr>
    </w:p>
    <w:p w14:paraId="6932EB76" w14:textId="1C52B4F4" w:rsidR="00F42A56" w:rsidRDefault="00B03BF9">
      <w:pPr>
        <w:numPr>
          <w:ilvl w:val="0"/>
          <w:numId w:val="1"/>
        </w:numPr>
        <w:ind w:left="720"/>
        <w:jc w:val="both"/>
        <w:rPr>
          <w:rFonts w:ascii="Arial" w:eastAsia="Arial" w:hAnsi="Arial" w:cs="Arial"/>
        </w:rPr>
      </w:pPr>
      <w:r>
        <w:rPr>
          <w:rFonts w:ascii="Arial" w:eastAsia="Arial" w:hAnsi="Arial" w:cs="Arial"/>
        </w:rPr>
        <w:t>The legislation referred</w:t>
      </w:r>
      <w:r w:rsidR="00AC11CA">
        <w:rPr>
          <w:rFonts w:ascii="Arial" w:eastAsia="Arial" w:hAnsi="Arial" w:cs="Arial"/>
        </w:rPr>
        <w:t xml:space="preserve"> to</w:t>
      </w:r>
      <w:r>
        <w:rPr>
          <w:rFonts w:ascii="Arial" w:eastAsia="Arial" w:hAnsi="Arial" w:cs="Arial"/>
        </w:rPr>
        <w:t xml:space="preserve"> above </w:t>
      </w:r>
      <w:r w:rsidR="00AF1897">
        <w:rPr>
          <w:rFonts w:ascii="Arial" w:eastAsia="Arial" w:hAnsi="Arial" w:cs="Arial"/>
        </w:rPr>
        <w:t>has</w:t>
      </w:r>
      <w:r>
        <w:rPr>
          <w:rFonts w:ascii="Arial" w:eastAsia="Arial" w:hAnsi="Arial" w:cs="Arial"/>
        </w:rPr>
        <w:t xml:space="preserve"> also ma</w:t>
      </w:r>
      <w:r w:rsidR="00AF1897">
        <w:rPr>
          <w:rFonts w:ascii="Arial" w:eastAsia="Arial" w:hAnsi="Arial" w:cs="Arial"/>
        </w:rPr>
        <w:t>de</w:t>
      </w:r>
      <w:r>
        <w:rPr>
          <w:rFonts w:ascii="Arial" w:eastAsia="Arial" w:hAnsi="Arial" w:cs="Arial"/>
        </w:rPr>
        <w:t xml:space="preserve"> changes to the requirements in respect of Cremation forms to permit cremations to proceed on the basis of Cremation Form 4 alone.</w:t>
      </w:r>
    </w:p>
    <w:p w14:paraId="617FF0B2" w14:textId="77777777" w:rsidR="00F42A56" w:rsidRDefault="00F42A56">
      <w:pPr>
        <w:ind w:left="720"/>
        <w:jc w:val="both"/>
        <w:rPr>
          <w:rFonts w:ascii="Arial" w:eastAsia="Arial" w:hAnsi="Arial" w:cs="Arial"/>
        </w:rPr>
      </w:pPr>
    </w:p>
    <w:p w14:paraId="0441CCE9" w14:textId="77777777" w:rsidR="00F42A56" w:rsidRDefault="00B03BF9" w:rsidP="00446A31">
      <w:pPr>
        <w:jc w:val="both"/>
        <w:rPr>
          <w:rFonts w:ascii="Arial" w:eastAsia="Arial" w:hAnsi="Arial" w:cs="Arial"/>
        </w:rPr>
      </w:pPr>
      <w:r>
        <w:rPr>
          <w:rFonts w:ascii="Arial" w:eastAsia="Arial" w:hAnsi="Arial" w:cs="Arial"/>
          <w:b/>
        </w:rPr>
        <w:t>COVID-19 is a Natural Cause of Death</w:t>
      </w:r>
    </w:p>
    <w:p w14:paraId="6B5EBDDD" w14:textId="77777777" w:rsidR="00F42A56" w:rsidRDefault="00B03BF9">
      <w:pPr>
        <w:ind w:left="720"/>
        <w:jc w:val="both"/>
        <w:rPr>
          <w:rFonts w:ascii="Arial" w:eastAsia="Arial" w:hAnsi="Arial" w:cs="Arial"/>
        </w:rPr>
      </w:pPr>
      <w:r>
        <w:rPr>
          <w:rFonts w:ascii="Arial" w:eastAsia="Arial" w:hAnsi="Arial" w:cs="Arial"/>
          <w:b/>
        </w:rPr>
        <w:t xml:space="preserve"> </w:t>
      </w:r>
    </w:p>
    <w:p w14:paraId="2CA6C278" w14:textId="77777777" w:rsidR="00F42A56" w:rsidRDefault="00B03BF9">
      <w:pPr>
        <w:numPr>
          <w:ilvl w:val="0"/>
          <w:numId w:val="1"/>
        </w:numPr>
        <w:ind w:left="720"/>
        <w:jc w:val="both"/>
        <w:rPr>
          <w:rFonts w:ascii="Arial" w:eastAsia="Arial" w:hAnsi="Arial" w:cs="Arial"/>
        </w:rPr>
      </w:pPr>
      <w:r>
        <w:rPr>
          <w:rFonts w:ascii="Arial" w:eastAsia="Arial" w:hAnsi="Arial" w:cs="Arial"/>
        </w:rPr>
        <w:t>A death is typically considered to be unnatural if it has not resulted entirely from a naturally occurring disease process running its natural course, where nothing else is implicated</w:t>
      </w:r>
      <w:r>
        <w:rPr>
          <w:rFonts w:ascii="Arial" w:eastAsia="Arial" w:hAnsi="Arial" w:cs="Arial"/>
          <w:vertAlign w:val="superscript"/>
        </w:rPr>
        <w:footnoteReference w:id="4"/>
      </w:r>
      <w:r>
        <w:rPr>
          <w:rFonts w:ascii="Arial" w:eastAsia="Arial" w:hAnsi="Arial" w:cs="Arial"/>
        </w:rPr>
        <w:t>.</w:t>
      </w:r>
    </w:p>
    <w:p w14:paraId="147F40C0" w14:textId="77777777" w:rsidR="00F42A56" w:rsidRDefault="00F42A56">
      <w:pPr>
        <w:ind w:left="720"/>
        <w:jc w:val="both"/>
        <w:rPr>
          <w:rFonts w:ascii="Arial" w:eastAsia="Arial" w:hAnsi="Arial" w:cs="Arial"/>
        </w:rPr>
      </w:pPr>
    </w:p>
    <w:p w14:paraId="70E3C057" w14:textId="77777777" w:rsidR="00F42A56" w:rsidRDefault="00B03BF9">
      <w:pPr>
        <w:numPr>
          <w:ilvl w:val="0"/>
          <w:numId w:val="1"/>
        </w:numPr>
        <w:ind w:left="720"/>
        <w:jc w:val="both"/>
        <w:rPr>
          <w:rFonts w:ascii="Arial" w:eastAsia="Arial" w:hAnsi="Arial" w:cs="Arial"/>
        </w:rPr>
      </w:pPr>
      <w:r>
        <w:rPr>
          <w:rFonts w:ascii="Arial" w:eastAsia="Arial" w:hAnsi="Arial" w:cs="Arial"/>
        </w:rPr>
        <w:lastRenderedPageBreak/>
        <w:t>COVID-19 is an acceptable direct or underlying cause of death for the purpose of completing a MCCD</w:t>
      </w:r>
      <w:r>
        <w:rPr>
          <w:rFonts w:ascii="Arial" w:eastAsia="Arial" w:hAnsi="Arial" w:cs="Arial"/>
          <w:vertAlign w:val="superscript"/>
        </w:rPr>
        <w:footnoteReference w:id="5"/>
      </w:r>
    </w:p>
    <w:p w14:paraId="6C56CB74" w14:textId="77777777" w:rsidR="00F42A56" w:rsidRDefault="00F42A56">
      <w:pPr>
        <w:pBdr>
          <w:top w:val="nil"/>
          <w:left w:val="nil"/>
          <w:bottom w:val="nil"/>
          <w:right w:val="nil"/>
          <w:between w:val="nil"/>
        </w:pBdr>
        <w:ind w:left="720" w:hanging="720"/>
        <w:rPr>
          <w:rFonts w:ascii="Arial" w:eastAsia="Arial" w:hAnsi="Arial" w:cs="Arial"/>
          <w:color w:val="000000"/>
        </w:rPr>
      </w:pPr>
    </w:p>
    <w:p w14:paraId="58C8191A" w14:textId="0C81747A" w:rsidR="00F42A56" w:rsidRPr="00AC11CA" w:rsidRDefault="00B03BF9" w:rsidP="00AC11CA">
      <w:pPr>
        <w:rPr>
          <w:rFonts w:ascii="Arial" w:eastAsia="Arial" w:hAnsi="Arial" w:cs="Arial"/>
          <w:b/>
          <w:color w:val="000000"/>
        </w:rPr>
      </w:pPr>
      <w:r>
        <w:rPr>
          <w:rFonts w:ascii="Arial" w:eastAsia="Arial" w:hAnsi="Arial" w:cs="Arial"/>
          <w:b/>
          <w:color w:val="000000"/>
        </w:rPr>
        <w:t>COVID-19 deaths should not require a post mortem</w:t>
      </w:r>
    </w:p>
    <w:p w14:paraId="0F77CCF2" w14:textId="77777777" w:rsidR="00F42A56" w:rsidRDefault="00F42A56">
      <w:pPr>
        <w:pBdr>
          <w:top w:val="nil"/>
          <w:left w:val="nil"/>
          <w:bottom w:val="nil"/>
          <w:right w:val="nil"/>
          <w:between w:val="nil"/>
        </w:pBdr>
        <w:ind w:left="720" w:hanging="720"/>
        <w:rPr>
          <w:rFonts w:ascii="Arial" w:eastAsia="Arial" w:hAnsi="Arial" w:cs="Arial"/>
          <w:color w:val="000000"/>
        </w:rPr>
      </w:pPr>
    </w:p>
    <w:p w14:paraId="01FE12DF" w14:textId="77777777" w:rsidR="00F42A56" w:rsidRDefault="00B03BF9">
      <w:pPr>
        <w:numPr>
          <w:ilvl w:val="0"/>
          <w:numId w:val="1"/>
        </w:numPr>
        <w:ind w:left="720"/>
        <w:jc w:val="both"/>
        <w:rPr>
          <w:rFonts w:ascii="Arial" w:eastAsia="Arial" w:hAnsi="Arial" w:cs="Arial"/>
        </w:rPr>
      </w:pPr>
      <w:r>
        <w:rPr>
          <w:rFonts w:ascii="Arial" w:eastAsia="Arial" w:hAnsi="Arial" w:cs="Arial"/>
        </w:rPr>
        <w:t>Guidance from the Royal College of Pathologists states that in general if a death is believed to be due to a confirmed COVID-19 infection, there is unlikely to be any need for a post mortem to be conducted and a MCCD should be issued</w:t>
      </w:r>
      <w:r>
        <w:rPr>
          <w:rFonts w:ascii="Arial" w:eastAsia="Arial" w:hAnsi="Arial" w:cs="Arial"/>
          <w:vertAlign w:val="superscript"/>
        </w:rPr>
        <w:footnoteReference w:id="6"/>
      </w:r>
    </w:p>
    <w:p w14:paraId="0B2695E9" w14:textId="77777777" w:rsidR="00F42A56" w:rsidRDefault="00F42A56">
      <w:pPr>
        <w:ind w:left="720"/>
        <w:jc w:val="both"/>
        <w:rPr>
          <w:rFonts w:ascii="Arial" w:eastAsia="Arial" w:hAnsi="Arial" w:cs="Arial"/>
        </w:rPr>
      </w:pPr>
    </w:p>
    <w:p w14:paraId="6251B528" w14:textId="77777777" w:rsidR="00F42A56" w:rsidRDefault="00B03BF9" w:rsidP="00446A31">
      <w:pPr>
        <w:jc w:val="both"/>
        <w:rPr>
          <w:rFonts w:ascii="Arial" w:eastAsia="Arial" w:hAnsi="Arial" w:cs="Arial"/>
        </w:rPr>
      </w:pPr>
      <w:r>
        <w:rPr>
          <w:rFonts w:ascii="Arial" w:eastAsia="Arial" w:hAnsi="Arial" w:cs="Arial"/>
          <w:b/>
        </w:rPr>
        <w:t>COVID-19 Cases Should not be Referred to the Coroner unless there is Another Reason for Doing So</w:t>
      </w:r>
    </w:p>
    <w:p w14:paraId="739FA220" w14:textId="77777777" w:rsidR="00F42A56" w:rsidRDefault="00F42A56">
      <w:pPr>
        <w:ind w:left="720"/>
        <w:jc w:val="both"/>
        <w:rPr>
          <w:rFonts w:ascii="Arial" w:eastAsia="Arial" w:hAnsi="Arial" w:cs="Arial"/>
        </w:rPr>
      </w:pPr>
    </w:p>
    <w:p w14:paraId="4E1B980A" w14:textId="77777777" w:rsidR="00F42A56" w:rsidRDefault="00B03BF9">
      <w:pPr>
        <w:numPr>
          <w:ilvl w:val="0"/>
          <w:numId w:val="1"/>
        </w:numPr>
        <w:ind w:left="720"/>
        <w:jc w:val="both"/>
        <w:rPr>
          <w:rFonts w:ascii="Arial" w:eastAsia="Arial" w:hAnsi="Arial" w:cs="Arial"/>
        </w:rPr>
      </w:pPr>
      <w:r>
        <w:rPr>
          <w:rFonts w:ascii="Arial" w:eastAsia="Arial" w:hAnsi="Arial" w:cs="Arial"/>
        </w:rPr>
        <w:t>COVID-19 is a notifiable disease under the Health Protection (Notification) Regulations 2010 but the fact that it is does not mean that the death needs to be referred to the Coroner on this basis</w:t>
      </w:r>
      <w:r>
        <w:rPr>
          <w:rFonts w:ascii="Arial" w:eastAsia="Arial" w:hAnsi="Arial" w:cs="Arial"/>
          <w:vertAlign w:val="superscript"/>
        </w:rPr>
        <w:footnoteReference w:id="7"/>
      </w:r>
    </w:p>
    <w:p w14:paraId="13A49F90" w14:textId="77777777" w:rsidR="00F42A56" w:rsidRDefault="00F42A56">
      <w:pPr>
        <w:ind w:left="720"/>
        <w:jc w:val="both"/>
        <w:rPr>
          <w:rFonts w:ascii="Arial" w:eastAsia="Arial" w:hAnsi="Arial" w:cs="Arial"/>
        </w:rPr>
      </w:pPr>
    </w:p>
    <w:p w14:paraId="2D8A0851" w14:textId="77777777" w:rsidR="00F42A56" w:rsidRDefault="00F42A56">
      <w:pPr>
        <w:jc w:val="both"/>
        <w:rPr>
          <w:rFonts w:ascii="Arial" w:eastAsia="Arial" w:hAnsi="Arial" w:cs="Arial"/>
        </w:rPr>
      </w:pPr>
    </w:p>
    <w:p w14:paraId="236DDD53" w14:textId="77777777" w:rsidR="00F42A56" w:rsidRDefault="00F42A56">
      <w:pPr>
        <w:jc w:val="both"/>
        <w:rPr>
          <w:rFonts w:ascii="Arial" w:eastAsia="Arial" w:hAnsi="Arial" w:cs="Arial"/>
          <w:sz w:val="22"/>
          <w:szCs w:val="22"/>
        </w:rPr>
      </w:pPr>
    </w:p>
    <w:p w14:paraId="3E501B9C" w14:textId="15B9BEEC" w:rsidR="00F42A56" w:rsidRDefault="00F42A56">
      <w:pPr>
        <w:rPr>
          <w:rFonts w:ascii="Arial" w:eastAsia="Arial" w:hAnsi="Arial" w:cs="Arial"/>
          <w:b/>
        </w:rPr>
      </w:pPr>
    </w:p>
    <w:p w14:paraId="11DE1304" w14:textId="0F8C4B89" w:rsidR="00680E14" w:rsidRDefault="00680E14">
      <w:pPr>
        <w:rPr>
          <w:rFonts w:ascii="Arial" w:eastAsia="Arial" w:hAnsi="Arial" w:cs="Arial"/>
          <w:b/>
        </w:rPr>
      </w:pPr>
    </w:p>
    <w:p w14:paraId="143A7A66" w14:textId="2BFEFB54" w:rsidR="00680E14" w:rsidRDefault="00680E14">
      <w:pPr>
        <w:rPr>
          <w:rFonts w:ascii="Arial" w:eastAsia="Arial" w:hAnsi="Arial" w:cs="Arial"/>
          <w:b/>
        </w:rPr>
      </w:pPr>
      <w:r>
        <w:rPr>
          <w:rFonts w:ascii="Arial" w:eastAsia="Arial" w:hAnsi="Arial" w:cs="Arial"/>
          <w:b/>
        </w:rPr>
        <w:t>Professor Fiona Wilcox</w:t>
      </w:r>
    </w:p>
    <w:p w14:paraId="6FFC97B6" w14:textId="0D59BFC5" w:rsidR="00680E14" w:rsidRDefault="00680E14">
      <w:pPr>
        <w:rPr>
          <w:rFonts w:ascii="Arial" w:eastAsia="Arial" w:hAnsi="Arial" w:cs="Arial"/>
        </w:rPr>
      </w:pPr>
      <w:r>
        <w:rPr>
          <w:rFonts w:ascii="Arial" w:eastAsia="Arial" w:hAnsi="Arial" w:cs="Arial"/>
          <w:b/>
        </w:rPr>
        <w:t>HM Senior Coroner, Inner West London</w:t>
      </w:r>
    </w:p>
    <w:p w14:paraId="2240168D" w14:textId="77777777" w:rsidR="00F42A56" w:rsidRDefault="00F42A56">
      <w:pPr>
        <w:ind w:left="720"/>
        <w:jc w:val="both"/>
        <w:rPr>
          <w:rFonts w:ascii="Arial" w:eastAsia="Arial" w:hAnsi="Arial" w:cs="Arial"/>
        </w:rPr>
      </w:pPr>
    </w:p>
    <w:p w14:paraId="0FADE1C3" w14:textId="77777777" w:rsidR="00F42A56" w:rsidRDefault="00F42A56">
      <w:pPr>
        <w:pBdr>
          <w:top w:val="nil"/>
          <w:left w:val="nil"/>
          <w:bottom w:val="nil"/>
          <w:right w:val="nil"/>
          <w:between w:val="nil"/>
        </w:pBdr>
        <w:ind w:left="720" w:hanging="720"/>
        <w:rPr>
          <w:rFonts w:ascii="Arial" w:eastAsia="Arial" w:hAnsi="Arial" w:cs="Arial"/>
          <w:color w:val="000000"/>
        </w:rPr>
      </w:pPr>
    </w:p>
    <w:p w14:paraId="1CBAB4B5" w14:textId="77777777" w:rsidR="00F42A56" w:rsidRDefault="00F42A56">
      <w:pPr>
        <w:ind w:left="1440"/>
        <w:jc w:val="both"/>
        <w:rPr>
          <w:rFonts w:ascii="Arial" w:eastAsia="Arial" w:hAnsi="Arial" w:cs="Arial"/>
        </w:rPr>
      </w:pPr>
    </w:p>
    <w:p w14:paraId="41B34671" w14:textId="77777777" w:rsidR="00F42A56" w:rsidRDefault="00F42A56">
      <w:pPr>
        <w:jc w:val="both"/>
        <w:rPr>
          <w:rFonts w:ascii="Arial" w:eastAsia="Arial" w:hAnsi="Arial" w:cs="Arial"/>
        </w:rPr>
      </w:pPr>
    </w:p>
    <w:p w14:paraId="15A229DB" w14:textId="77777777" w:rsidR="00F42A56" w:rsidRDefault="00F42A56">
      <w:pPr>
        <w:ind w:left="720"/>
        <w:jc w:val="both"/>
        <w:rPr>
          <w:rFonts w:ascii="Arial" w:eastAsia="Arial" w:hAnsi="Arial" w:cs="Arial"/>
        </w:rPr>
      </w:pPr>
    </w:p>
    <w:p w14:paraId="092C7102" w14:textId="77777777" w:rsidR="00F42A56" w:rsidRDefault="00F42A56">
      <w:pPr>
        <w:ind w:left="720"/>
        <w:jc w:val="both"/>
        <w:rPr>
          <w:rFonts w:ascii="Arial" w:eastAsia="Arial" w:hAnsi="Arial" w:cs="Arial"/>
        </w:rPr>
      </w:pPr>
    </w:p>
    <w:p w14:paraId="08F800EB" w14:textId="77777777" w:rsidR="00F42A56" w:rsidRDefault="00B03BF9">
      <w:pPr>
        <w:ind w:left="720"/>
        <w:jc w:val="both"/>
        <w:rPr>
          <w:rFonts w:ascii="Arial" w:eastAsia="Arial" w:hAnsi="Arial" w:cs="Arial"/>
        </w:rPr>
      </w:pPr>
      <w:r>
        <w:rPr>
          <w:rFonts w:ascii="Arial" w:eastAsia="Arial" w:hAnsi="Arial" w:cs="Arial"/>
        </w:rPr>
        <w:t xml:space="preserve"> </w:t>
      </w:r>
    </w:p>
    <w:sectPr w:rsidR="00F42A56" w:rsidSect="00474423">
      <w:pgSz w:w="11906" w:h="16838"/>
      <w:pgMar w:top="426" w:right="1466" w:bottom="1276"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DCBCE" w14:textId="77777777" w:rsidR="00C03C5B" w:rsidRDefault="00C03C5B">
      <w:r>
        <w:separator/>
      </w:r>
    </w:p>
  </w:endnote>
  <w:endnote w:type="continuationSeparator" w:id="0">
    <w:p w14:paraId="18BE8446" w14:textId="77777777" w:rsidR="00C03C5B" w:rsidRDefault="00C0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EFB0" w14:textId="77777777" w:rsidR="00C03C5B" w:rsidRDefault="00C03C5B">
      <w:r>
        <w:separator/>
      </w:r>
    </w:p>
  </w:footnote>
  <w:footnote w:type="continuationSeparator" w:id="0">
    <w:p w14:paraId="1E8BDAAA" w14:textId="77777777" w:rsidR="00C03C5B" w:rsidRDefault="00C03C5B">
      <w:r>
        <w:continuationSeparator/>
      </w:r>
    </w:p>
  </w:footnote>
  <w:footnote w:id="1">
    <w:p w14:paraId="321C485F" w14:textId="77777777" w:rsidR="00F42A56" w:rsidRDefault="00B03B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S22 Births and Deaths Registration Act 1953</w:t>
      </w:r>
    </w:p>
  </w:footnote>
  <w:footnote w:id="2">
    <w:p w14:paraId="02113D28" w14:textId="77777777" w:rsidR="00F42A56" w:rsidRDefault="00B03B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Guidance for Doctors Completing MCCD in England and Wales https://www.gov.uk/government/publications/guidance-notes-for-completing-a-medical-certificate-of-cause-of-death </w:t>
      </w:r>
    </w:p>
  </w:footnote>
  <w:footnote w:id="3">
    <w:p w14:paraId="6A63D66F" w14:textId="77777777" w:rsidR="00F42A56" w:rsidRDefault="00B03B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 the best of the doctor’s knowledge and belief on the balance of probabilities s22 Births and Deaths Registration Act 1953</w:t>
      </w:r>
    </w:p>
  </w:footnote>
  <w:footnote w:id="4">
    <w:p w14:paraId="40A2D71E" w14:textId="77777777" w:rsidR="00F42A56" w:rsidRDefault="00B03B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Para 24 Guidance to the Notification of Death Regulations 2019</w:t>
      </w:r>
    </w:p>
  </w:footnote>
  <w:footnote w:id="5">
    <w:p w14:paraId="42236E91" w14:textId="77777777" w:rsidR="00F42A56" w:rsidRDefault="00B03BF9">
      <w:pPr>
        <w:pBdr>
          <w:top w:val="nil"/>
          <w:left w:val="nil"/>
          <w:bottom w:val="nil"/>
          <w:right w:val="nil"/>
          <w:between w:val="nil"/>
        </w:pBdr>
        <w:rPr>
          <w:color w:val="000000"/>
          <w:sz w:val="20"/>
          <w:szCs w:val="20"/>
        </w:rPr>
      </w:pPr>
      <w:bookmarkStart w:id="2" w:name="_30j0zll" w:colFirst="0" w:colLast="0"/>
      <w:bookmarkEnd w:id="2"/>
      <w:r>
        <w:rPr>
          <w:vertAlign w:val="superscript"/>
        </w:rPr>
        <w:footnoteRef/>
      </w:r>
      <w:r>
        <w:rPr>
          <w:color w:val="000000"/>
          <w:sz w:val="20"/>
          <w:szCs w:val="20"/>
        </w:rPr>
        <w:t xml:space="preserve"> </w:t>
      </w:r>
      <w:hyperlink r:id="rId1">
        <w:r>
          <w:rPr>
            <w:color w:val="000000"/>
            <w:sz w:val="20"/>
            <w:szCs w:val="20"/>
            <w:u w:val="single"/>
          </w:rPr>
          <w:t>https://www.england.nhs.uk/coronavirus/primary-care/</w:t>
        </w:r>
      </w:hyperlink>
      <w:r>
        <w:rPr>
          <w:color w:val="000000"/>
          <w:sz w:val="20"/>
          <w:szCs w:val="20"/>
        </w:rPr>
        <w:t xml:space="preserve"> 10 March 2020</w:t>
      </w:r>
    </w:p>
  </w:footnote>
  <w:footnote w:id="6">
    <w:p w14:paraId="64559441" w14:textId="77777777" w:rsidR="00F42A56" w:rsidRDefault="00B03B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https://www.rcpath.org/resourceLibrary/briefing-on-covid-19-autopsy-practice-feb-2020.html</w:t>
      </w:r>
    </w:p>
  </w:footnote>
  <w:footnote w:id="7">
    <w:p w14:paraId="42256AD0" w14:textId="77777777" w:rsidR="00F42A56" w:rsidRDefault="00B03B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00000"/>
            <w:sz w:val="20"/>
            <w:szCs w:val="20"/>
            <w:u w:val="single"/>
          </w:rPr>
          <w:t>https://www.england.nhs.uk/coronavirus/primary-care/</w:t>
        </w:r>
      </w:hyperlink>
      <w:r>
        <w:rPr>
          <w:color w:val="000000"/>
          <w:sz w:val="20"/>
          <w:szCs w:val="20"/>
        </w:rPr>
        <w:t xml:space="preserve"> 10 March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22A5"/>
    <w:multiLevelType w:val="multilevel"/>
    <w:tmpl w:val="967216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09F70970"/>
    <w:multiLevelType w:val="multilevel"/>
    <w:tmpl w:val="9D1013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20A17A98"/>
    <w:multiLevelType w:val="multilevel"/>
    <w:tmpl w:val="E272CB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nsid w:val="59EE504C"/>
    <w:multiLevelType w:val="multilevel"/>
    <w:tmpl w:val="939A186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56"/>
    <w:rsid w:val="0006199B"/>
    <w:rsid w:val="00124525"/>
    <w:rsid w:val="001671C7"/>
    <w:rsid w:val="00242401"/>
    <w:rsid w:val="003E17C0"/>
    <w:rsid w:val="00446A31"/>
    <w:rsid w:val="00474423"/>
    <w:rsid w:val="00557B0E"/>
    <w:rsid w:val="005948F7"/>
    <w:rsid w:val="00680E14"/>
    <w:rsid w:val="00685B5E"/>
    <w:rsid w:val="006D7353"/>
    <w:rsid w:val="0073733C"/>
    <w:rsid w:val="00776FFE"/>
    <w:rsid w:val="007D194C"/>
    <w:rsid w:val="008B64BB"/>
    <w:rsid w:val="008E67B1"/>
    <w:rsid w:val="008F293D"/>
    <w:rsid w:val="00A26E86"/>
    <w:rsid w:val="00AC11CA"/>
    <w:rsid w:val="00AF1897"/>
    <w:rsid w:val="00B03BF9"/>
    <w:rsid w:val="00B14AF6"/>
    <w:rsid w:val="00BF12DD"/>
    <w:rsid w:val="00C03C5B"/>
    <w:rsid w:val="00E073F3"/>
    <w:rsid w:val="00E5074D"/>
    <w:rsid w:val="00E65DB7"/>
    <w:rsid w:val="00F42A56"/>
    <w:rsid w:val="00F5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74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23"/>
    <w:rPr>
      <w:rFonts w:ascii="Segoe UI" w:hAnsi="Segoe UI" w:cs="Segoe UI"/>
      <w:sz w:val="18"/>
      <w:szCs w:val="18"/>
    </w:rPr>
  </w:style>
  <w:style w:type="paragraph" w:styleId="ListParagraph">
    <w:name w:val="List Paragraph"/>
    <w:basedOn w:val="Normal"/>
    <w:uiPriority w:val="34"/>
    <w:qFormat/>
    <w:rsid w:val="00E65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74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23"/>
    <w:rPr>
      <w:rFonts w:ascii="Segoe UI" w:hAnsi="Segoe UI" w:cs="Segoe UI"/>
      <w:sz w:val="18"/>
      <w:szCs w:val="18"/>
    </w:rPr>
  </w:style>
  <w:style w:type="paragraph" w:styleId="ListParagraph">
    <w:name w:val="List Paragraph"/>
    <w:basedOn w:val="Normal"/>
    <w:uiPriority w:val="34"/>
    <w:qFormat/>
    <w:rsid w:val="00E6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coronavirus/primary-care/" TargetMode="External"/><Relationship Id="rId1" Type="http://schemas.openxmlformats.org/officeDocument/2006/relationships/hyperlink" Target="https://www.england.nhs.uk/coronavirus/prim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3C10178EEFF4D9B086B19ABFC4A6A" ma:contentTypeVersion="12" ma:contentTypeDescription="Create a new document." ma:contentTypeScope="" ma:versionID="77cd8584c0c46856ecaa67f39b1ce9a4">
  <xsd:schema xmlns:xsd="http://www.w3.org/2001/XMLSchema" xmlns:xs="http://www.w3.org/2001/XMLSchema" xmlns:p="http://schemas.microsoft.com/office/2006/metadata/properties" xmlns:ns3="7666ee7b-d5e3-46fe-bb20-3672dc092178" xmlns:ns4="1bdfd35a-45f0-4ecc-961e-62bd7aa78f57" targetNamespace="http://schemas.microsoft.com/office/2006/metadata/properties" ma:root="true" ma:fieldsID="00c8a777616f1cba657c7c42a05668a3" ns3:_="" ns4:_="">
    <xsd:import namespace="7666ee7b-d5e3-46fe-bb20-3672dc092178"/>
    <xsd:import namespace="1bdfd35a-45f0-4ecc-961e-62bd7aa78f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6ee7b-d5e3-46fe-bb20-3672dc092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fd35a-45f0-4ecc-961e-62bd7aa78f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EBB55-CFFB-4683-85A0-2FFEC0A9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6ee7b-d5e3-46fe-bb20-3672dc092178"/>
    <ds:schemaRef ds:uri="1bdfd35a-45f0-4ecc-961e-62bd7aa78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41540-32B7-4C3A-B3F1-A19836F62F9F}">
  <ds:schemaRefs>
    <ds:schemaRef ds:uri="http://schemas.microsoft.com/sharepoint/v3/contenttype/forms"/>
  </ds:schemaRefs>
</ds:datastoreItem>
</file>

<file path=customXml/itemProps3.xml><?xml version="1.0" encoding="utf-8"?>
<ds:datastoreItem xmlns:ds="http://schemas.openxmlformats.org/officeDocument/2006/customXml" ds:itemID="{A3580AD7-FE05-41CF-9C8F-250889DA5F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Marston (Merton and Wandsworth CCGs)</dc:creator>
  <cp:lastModifiedBy>Tim</cp:lastModifiedBy>
  <cp:revision>2</cp:revision>
  <cp:lastPrinted>2020-03-26T10:57:00Z</cp:lastPrinted>
  <dcterms:created xsi:type="dcterms:W3CDTF">2020-03-29T10:48:00Z</dcterms:created>
  <dcterms:modified xsi:type="dcterms:W3CDTF">2020-03-29T10:48:00Z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0x010100C913C10178EEFF4D9B086B19ABFC4A6A</vt:lpwstr>
  </property>
</Properties>
</file>